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D8BE" w14:textId="34843322" w:rsidR="00805BDF" w:rsidRDefault="00805BDF" w:rsidP="00805BDF">
      <w:pPr>
        <w:spacing w:after="0" w:line="240" w:lineRule="auto"/>
        <w:jc w:val="center"/>
        <w:rPr>
          <w:rFonts w:ascii="Calibri" w:eastAsia="Times New Roman" w:hAnsi="Calibri" w:cs="Calibri"/>
          <w:b/>
          <w:bCs/>
          <w:color w:val="44546A"/>
          <w:sz w:val="32"/>
          <w:szCs w:val="32"/>
        </w:rPr>
      </w:pPr>
      <w:r>
        <w:rPr>
          <w:rFonts w:ascii="Calibri" w:eastAsia="Times New Roman" w:hAnsi="Calibri" w:cs="Calibri"/>
          <w:b/>
          <w:bCs/>
          <w:color w:val="44546A"/>
          <w:sz w:val="32"/>
          <w:szCs w:val="32"/>
        </w:rPr>
        <w:t>REGIONAL B</w:t>
      </w:r>
      <w:r w:rsidR="008420A9">
        <w:rPr>
          <w:rFonts w:ascii="Calibri" w:eastAsia="Times New Roman" w:hAnsi="Calibri" w:cs="Calibri"/>
          <w:b/>
          <w:bCs/>
          <w:color w:val="44546A"/>
          <w:sz w:val="32"/>
          <w:szCs w:val="32"/>
        </w:rPr>
        <w:t>UR</w:t>
      </w:r>
      <w:r>
        <w:rPr>
          <w:rFonts w:ascii="Calibri" w:eastAsia="Times New Roman" w:hAnsi="Calibri" w:cs="Calibri"/>
          <w:b/>
          <w:bCs/>
          <w:color w:val="44546A"/>
          <w:sz w:val="32"/>
          <w:szCs w:val="32"/>
        </w:rPr>
        <w:t>EAU FOR ARAB STATES</w:t>
      </w:r>
    </w:p>
    <w:p w14:paraId="6B7F2A95" w14:textId="65E4E77F" w:rsidR="00805BDF" w:rsidRDefault="00C66C63" w:rsidP="00C66C63">
      <w:pPr>
        <w:spacing w:after="0" w:line="240" w:lineRule="auto"/>
        <w:jc w:val="center"/>
        <w:rPr>
          <w:rFonts w:ascii="Calibri" w:eastAsia="Times New Roman" w:hAnsi="Calibri" w:cs="Calibri"/>
          <w:b/>
          <w:bCs/>
          <w:color w:val="44546A"/>
          <w:sz w:val="32"/>
          <w:szCs w:val="32"/>
        </w:rPr>
      </w:pPr>
      <w:r>
        <w:rPr>
          <w:rFonts w:ascii="Calibri" w:eastAsia="Times New Roman" w:hAnsi="Calibri" w:cs="Calibri"/>
          <w:b/>
          <w:bCs/>
          <w:color w:val="44546A"/>
          <w:sz w:val="32"/>
          <w:szCs w:val="32"/>
        </w:rPr>
        <w:t>PROGRAMME INCUBATION FUND</w:t>
      </w:r>
    </w:p>
    <w:p w14:paraId="101B6014" w14:textId="48917BB7" w:rsidR="00EE4B01" w:rsidRDefault="00EE4B01" w:rsidP="00805BDF">
      <w:pPr>
        <w:spacing w:after="0" w:line="240" w:lineRule="auto"/>
        <w:jc w:val="center"/>
        <w:rPr>
          <w:rFonts w:ascii="Calibri" w:eastAsia="Times New Roman" w:hAnsi="Calibri" w:cs="Calibri"/>
          <w:b/>
          <w:bCs/>
          <w:color w:val="44546A"/>
          <w:sz w:val="32"/>
          <w:szCs w:val="32"/>
        </w:rPr>
      </w:pPr>
      <w:r>
        <w:rPr>
          <w:rFonts w:ascii="Calibri" w:eastAsia="Times New Roman" w:hAnsi="Calibri" w:cs="Calibri"/>
          <w:b/>
          <w:bCs/>
          <w:color w:val="44546A"/>
          <w:sz w:val="32"/>
          <w:szCs w:val="32"/>
        </w:rPr>
        <w:t xml:space="preserve">Proposal for: </w:t>
      </w:r>
      <w:r w:rsidR="008420A9">
        <w:rPr>
          <w:rFonts w:ascii="Calibri" w:eastAsia="Times New Roman" w:hAnsi="Calibri" w:cs="Calibri"/>
          <w:b/>
          <w:bCs/>
          <w:color w:val="44546A"/>
          <w:sz w:val="32"/>
          <w:szCs w:val="32"/>
        </w:rPr>
        <w:t>Djibouti</w:t>
      </w:r>
      <w:r>
        <w:rPr>
          <w:rFonts w:ascii="Calibri" w:eastAsia="Times New Roman" w:hAnsi="Calibri" w:cs="Calibri"/>
          <w:b/>
          <w:bCs/>
          <w:color w:val="44546A"/>
          <w:sz w:val="32"/>
          <w:szCs w:val="32"/>
        </w:rPr>
        <w:t xml:space="preserve"> Country Office</w:t>
      </w:r>
    </w:p>
    <w:p w14:paraId="24EA582F" w14:textId="19D33E6A" w:rsidR="00805BDF" w:rsidRDefault="00EE4B01" w:rsidP="00805BDF">
      <w:pPr>
        <w:spacing w:after="0" w:line="240" w:lineRule="auto"/>
        <w:jc w:val="center"/>
        <w:rPr>
          <w:rFonts w:ascii="Calibri" w:eastAsia="Times New Roman" w:hAnsi="Calibri" w:cs="Calibri"/>
          <w:b/>
          <w:bCs/>
          <w:color w:val="44546A"/>
          <w:sz w:val="32"/>
          <w:szCs w:val="32"/>
        </w:rPr>
      </w:pPr>
      <w:r>
        <w:rPr>
          <w:rFonts w:ascii="Calibri" w:eastAsia="Times New Roman" w:hAnsi="Calibri" w:cs="Calibri"/>
          <w:b/>
          <w:bCs/>
          <w:color w:val="44546A"/>
          <w:sz w:val="32"/>
          <w:szCs w:val="32"/>
        </w:rPr>
        <w:t xml:space="preserve">Date of Submission: </w:t>
      </w:r>
      <w:r w:rsidR="00195F46">
        <w:rPr>
          <w:rFonts w:ascii="Calibri" w:eastAsia="Times New Roman" w:hAnsi="Calibri" w:cs="Calibri"/>
          <w:b/>
          <w:bCs/>
          <w:color w:val="44546A"/>
          <w:sz w:val="32"/>
          <w:szCs w:val="32"/>
          <w:shd w:val="clear" w:color="auto" w:fill="F4B083" w:themeFill="accent2" w:themeFillTint="99"/>
        </w:rPr>
        <w:t>Apr 1</w:t>
      </w:r>
      <w:r w:rsidR="0053689D">
        <w:rPr>
          <w:rFonts w:ascii="Calibri" w:eastAsia="Times New Roman" w:hAnsi="Calibri" w:cs="Calibri"/>
          <w:b/>
          <w:bCs/>
          <w:color w:val="44546A"/>
          <w:sz w:val="32"/>
          <w:szCs w:val="32"/>
          <w:shd w:val="clear" w:color="auto" w:fill="F4B083" w:themeFill="accent2" w:themeFillTint="99"/>
        </w:rPr>
        <w:t>1</w:t>
      </w:r>
      <w:r w:rsidR="002E481B" w:rsidRPr="002E481B">
        <w:rPr>
          <w:rFonts w:ascii="Calibri" w:eastAsia="Times New Roman" w:hAnsi="Calibri" w:cs="Calibri"/>
          <w:b/>
          <w:bCs/>
          <w:color w:val="44546A"/>
          <w:sz w:val="32"/>
          <w:szCs w:val="32"/>
          <w:shd w:val="clear" w:color="auto" w:fill="F4B083" w:themeFill="accent2" w:themeFillTint="99"/>
        </w:rPr>
        <w:t>, 2022</w:t>
      </w:r>
    </w:p>
    <w:p w14:paraId="7AB8115E" w14:textId="77777777" w:rsidR="007A6594" w:rsidRDefault="007A6594" w:rsidP="00D645CC">
      <w:pPr>
        <w:spacing w:after="0" w:line="240" w:lineRule="auto"/>
        <w:rPr>
          <w:rFonts w:ascii="Calibri" w:eastAsia="Times New Roman" w:hAnsi="Calibri" w:cs="Calibri"/>
          <w:b/>
          <w:bCs/>
          <w:color w:val="44546A"/>
          <w:sz w:val="32"/>
          <w:szCs w:val="32"/>
        </w:rPr>
      </w:pPr>
    </w:p>
    <w:p w14:paraId="2BBC56D1" w14:textId="364E3632" w:rsidR="008D20AF" w:rsidRDefault="009446C1" w:rsidP="00524376">
      <w:pPr>
        <w:shd w:val="clear" w:color="auto" w:fill="B4C6E7" w:themeFill="accent1" w:themeFillTint="66"/>
        <w:spacing w:after="0" w:line="240" w:lineRule="auto"/>
        <w:ind w:left="-180" w:hanging="180"/>
        <w:rPr>
          <w:rFonts w:ascii="Calibri" w:eastAsia="Times New Roman" w:hAnsi="Calibri" w:cs="Calibri"/>
          <w:b/>
          <w:bCs/>
          <w:color w:val="44546A"/>
          <w:sz w:val="32"/>
          <w:szCs w:val="32"/>
        </w:rPr>
      </w:pPr>
      <w:r>
        <w:rPr>
          <w:rFonts w:ascii="Calibri" w:eastAsia="Times New Roman" w:hAnsi="Calibri" w:cs="Calibri"/>
          <w:b/>
          <w:bCs/>
          <w:color w:val="44546A"/>
          <w:sz w:val="28"/>
          <w:szCs w:val="28"/>
        </w:rPr>
        <w:t>Review sheet for review panel</w:t>
      </w:r>
    </w:p>
    <w:p w14:paraId="7DF53F54" w14:textId="448B77D8" w:rsidR="00F20BB6" w:rsidRDefault="00F20BB6" w:rsidP="00F20BB6">
      <w:pPr>
        <w:spacing w:after="0" w:line="240" w:lineRule="auto"/>
        <w:rPr>
          <w:rFonts w:ascii="Calibri" w:eastAsia="Times New Roman" w:hAnsi="Calibri" w:cs="Calibri"/>
          <w:b/>
          <w:bCs/>
          <w:color w:val="44546A"/>
          <w:sz w:val="32"/>
          <w:szCs w:val="32"/>
        </w:rPr>
      </w:pPr>
    </w:p>
    <w:tbl>
      <w:tblPr>
        <w:tblStyle w:val="TableGrid"/>
        <w:tblW w:w="0" w:type="auto"/>
        <w:tblLook w:val="04A0" w:firstRow="1" w:lastRow="0" w:firstColumn="1" w:lastColumn="0" w:noHBand="0" w:noVBand="1"/>
      </w:tblPr>
      <w:tblGrid>
        <w:gridCol w:w="4765"/>
        <w:gridCol w:w="4765"/>
      </w:tblGrid>
      <w:tr w:rsidR="00F20BB6" w14:paraId="7695FB18" w14:textId="77777777" w:rsidTr="00F20BB6">
        <w:tc>
          <w:tcPr>
            <w:tcW w:w="4765" w:type="dxa"/>
          </w:tcPr>
          <w:p w14:paraId="558BEC9F" w14:textId="2C7111D5" w:rsidR="00F20BB6" w:rsidRDefault="00F20BB6" w:rsidP="00F20BB6">
            <w:pPr>
              <w:rPr>
                <w:rFonts w:ascii="Calibri" w:eastAsia="Times New Roman" w:hAnsi="Calibri" w:cs="Calibri"/>
                <w:b/>
                <w:bCs/>
                <w:color w:val="44546A"/>
                <w:sz w:val="32"/>
                <w:szCs w:val="32"/>
              </w:rPr>
            </w:pPr>
            <w:r>
              <w:rPr>
                <w:rFonts w:ascii="Calibri" w:eastAsia="Times New Roman" w:hAnsi="Calibri" w:cs="Calibri"/>
                <w:b/>
                <w:bCs/>
                <w:color w:val="44546A"/>
                <w:sz w:val="32"/>
                <w:szCs w:val="32"/>
              </w:rPr>
              <w:t>Criteria</w:t>
            </w:r>
          </w:p>
        </w:tc>
        <w:tc>
          <w:tcPr>
            <w:tcW w:w="4765" w:type="dxa"/>
          </w:tcPr>
          <w:p w14:paraId="74017297" w14:textId="09E1283F" w:rsidR="00F20BB6" w:rsidRDefault="00F20BB6" w:rsidP="00F20BB6">
            <w:pPr>
              <w:rPr>
                <w:rFonts w:ascii="Calibri" w:eastAsia="Times New Roman" w:hAnsi="Calibri" w:cs="Calibri"/>
                <w:b/>
                <w:bCs/>
                <w:color w:val="44546A"/>
                <w:sz w:val="32"/>
                <w:szCs w:val="32"/>
              </w:rPr>
            </w:pPr>
            <w:r>
              <w:rPr>
                <w:rFonts w:ascii="Calibri" w:eastAsia="Times New Roman" w:hAnsi="Calibri" w:cs="Calibri"/>
                <w:b/>
                <w:bCs/>
                <w:color w:val="44546A"/>
                <w:sz w:val="32"/>
                <w:szCs w:val="32"/>
              </w:rPr>
              <w:t>Score</w:t>
            </w:r>
          </w:p>
        </w:tc>
      </w:tr>
      <w:tr w:rsidR="00F20BB6" w14:paraId="4F2D236E" w14:textId="77777777" w:rsidTr="00F20BB6">
        <w:tc>
          <w:tcPr>
            <w:tcW w:w="4765" w:type="dxa"/>
          </w:tcPr>
          <w:p w14:paraId="2498B8DA" w14:textId="2D3EB21E" w:rsidR="00F20BB6" w:rsidRPr="003F009F" w:rsidRDefault="00F20BB6" w:rsidP="00F20BB6">
            <w:pPr>
              <w:jc w:val="both"/>
              <w:rPr>
                <w:rFonts w:ascii="Calibri" w:eastAsia="Times New Roman" w:hAnsi="Calibri" w:cs="Calibri"/>
                <w:b/>
                <w:bCs/>
                <w:color w:val="44546A"/>
                <w:sz w:val="24"/>
                <w:szCs w:val="24"/>
              </w:rPr>
            </w:pPr>
            <w:r w:rsidRPr="003F009F">
              <w:rPr>
                <w:rFonts w:ascii="Calibri" w:eastAsia="Times New Roman" w:hAnsi="Calibri" w:cs="Calibri"/>
                <w:b/>
                <w:bCs/>
                <w:color w:val="44546A"/>
                <w:sz w:val="24"/>
                <w:szCs w:val="24"/>
              </w:rPr>
              <w:t>Innovation</w:t>
            </w:r>
            <w:r>
              <w:rPr>
                <w:rFonts w:ascii="Calibri" w:eastAsia="Times New Roman" w:hAnsi="Calibri" w:cs="Calibri"/>
                <w:b/>
                <w:bCs/>
                <w:color w:val="44546A"/>
                <w:sz w:val="24"/>
                <w:szCs w:val="24"/>
              </w:rPr>
              <w:t xml:space="preserve"> (maximum score 30)</w:t>
            </w:r>
            <w:r w:rsidRPr="003F009F">
              <w:rPr>
                <w:rFonts w:ascii="Calibri" w:eastAsia="Times New Roman" w:hAnsi="Calibri" w:cs="Calibri"/>
                <w:b/>
                <w:bCs/>
                <w:color w:val="44546A"/>
                <w:sz w:val="24"/>
                <w:szCs w:val="24"/>
              </w:rPr>
              <w:t xml:space="preserve">: </w:t>
            </w:r>
          </w:p>
          <w:p w14:paraId="403C0FCD" w14:textId="77777777" w:rsidR="002F6EF4" w:rsidRPr="001D1192" w:rsidRDefault="002F6EF4" w:rsidP="002F6EF4">
            <w:pPr>
              <w:pStyle w:val="ListParagraph"/>
              <w:numPr>
                <w:ilvl w:val="0"/>
                <w:numId w:val="2"/>
              </w:numPr>
              <w:ind w:left="450" w:hanging="270"/>
              <w:jc w:val="both"/>
              <w:rPr>
                <w:rFonts w:ascii="Calibri" w:eastAsia="Times New Roman" w:hAnsi="Calibri" w:cs="Calibri"/>
                <w:color w:val="44546A"/>
                <w:sz w:val="24"/>
                <w:szCs w:val="24"/>
              </w:rPr>
            </w:pPr>
            <w:r w:rsidRPr="001D1192">
              <w:rPr>
                <w:rFonts w:ascii="Calibri" w:eastAsia="Times New Roman" w:hAnsi="Calibri" w:cs="Calibri"/>
                <w:color w:val="44546A"/>
                <w:sz w:val="24"/>
                <w:szCs w:val="24"/>
              </w:rPr>
              <w:t>Innovative</w:t>
            </w:r>
            <w:r>
              <w:rPr>
                <w:rFonts w:ascii="Calibri" w:eastAsia="Times New Roman" w:hAnsi="Calibri" w:cs="Calibri"/>
                <w:color w:val="44546A"/>
                <w:sz w:val="24"/>
                <w:szCs w:val="24"/>
              </w:rPr>
              <w:t xml:space="preserve">, </w:t>
            </w:r>
            <w:proofErr w:type="gramStart"/>
            <w:r>
              <w:rPr>
                <w:rFonts w:ascii="Calibri" w:eastAsia="Times New Roman" w:hAnsi="Calibri" w:cs="Calibri"/>
                <w:color w:val="44546A"/>
                <w:sz w:val="24"/>
                <w:szCs w:val="24"/>
              </w:rPr>
              <w:t>bold</w:t>
            </w:r>
            <w:proofErr w:type="gramEnd"/>
            <w:r w:rsidRPr="001D1192">
              <w:rPr>
                <w:rFonts w:ascii="Calibri" w:eastAsia="Times New Roman" w:hAnsi="Calibri" w:cs="Calibri"/>
                <w:color w:val="44546A"/>
                <w:sz w:val="24"/>
                <w:szCs w:val="24"/>
              </w:rPr>
              <w:t xml:space="preserve"> and </w:t>
            </w:r>
            <w:r>
              <w:rPr>
                <w:rFonts w:ascii="Calibri" w:eastAsia="Times New Roman" w:hAnsi="Calibri" w:cs="Calibri"/>
                <w:color w:val="44546A"/>
                <w:sz w:val="24"/>
                <w:szCs w:val="24"/>
              </w:rPr>
              <w:t>new</w:t>
            </w:r>
            <w:r w:rsidRPr="001D1192">
              <w:rPr>
                <w:rFonts w:ascii="Calibri" w:eastAsia="Times New Roman" w:hAnsi="Calibri" w:cs="Calibri"/>
                <w:color w:val="44546A"/>
                <w:sz w:val="24"/>
                <w:szCs w:val="24"/>
              </w:rPr>
              <w:t xml:space="preserve"> intervention</w:t>
            </w:r>
            <w:r>
              <w:rPr>
                <w:rFonts w:ascii="Calibri" w:eastAsia="Times New Roman" w:hAnsi="Calibri" w:cs="Calibri"/>
                <w:color w:val="44546A"/>
                <w:sz w:val="24"/>
                <w:szCs w:val="24"/>
              </w:rPr>
              <w:t>s</w:t>
            </w:r>
            <w:r w:rsidRPr="001D1192">
              <w:rPr>
                <w:rFonts w:ascii="Calibri" w:eastAsia="Times New Roman" w:hAnsi="Calibri" w:cs="Calibri"/>
                <w:color w:val="44546A"/>
                <w:sz w:val="24"/>
                <w:szCs w:val="24"/>
              </w:rPr>
              <w:t>.</w:t>
            </w:r>
            <w:r>
              <w:rPr>
                <w:rFonts w:ascii="Calibri" w:eastAsia="Times New Roman" w:hAnsi="Calibri" w:cs="Calibri"/>
                <w:color w:val="44546A"/>
                <w:sz w:val="24"/>
                <w:szCs w:val="24"/>
              </w:rPr>
              <w:t xml:space="preserve"> </w:t>
            </w:r>
          </w:p>
          <w:p w14:paraId="5B370636" w14:textId="77777777" w:rsidR="002F6EF4" w:rsidRDefault="002F6EF4" w:rsidP="002F6EF4">
            <w:pPr>
              <w:pStyle w:val="ListParagraph"/>
              <w:numPr>
                <w:ilvl w:val="0"/>
                <w:numId w:val="2"/>
              </w:numPr>
              <w:ind w:left="450" w:hanging="270"/>
              <w:jc w:val="both"/>
              <w:rPr>
                <w:rFonts w:ascii="Calibri" w:eastAsia="Times New Roman" w:hAnsi="Calibri" w:cs="Calibri"/>
                <w:color w:val="44546A"/>
                <w:sz w:val="24"/>
                <w:szCs w:val="24"/>
              </w:rPr>
            </w:pPr>
            <w:r w:rsidRPr="002E35F5">
              <w:rPr>
                <w:rFonts w:ascii="Calibri" w:eastAsia="Times New Roman" w:hAnsi="Calibri" w:cs="Calibri"/>
                <w:color w:val="44546A"/>
                <w:sz w:val="24"/>
                <w:szCs w:val="24"/>
              </w:rPr>
              <w:t xml:space="preserve">Clear, feasible, </w:t>
            </w:r>
            <w:r w:rsidRPr="009853EA">
              <w:rPr>
                <w:rFonts w:ascii="Calibri" w:eastAsia="Times New Roman" w:hAnsi="Calibri" w:cs="Calibri"/>
                <w:color w:val="44546A"/>
                <w:sz w:val="24"/>
                <w:szCs w:val="24"/>
              </w:rPr>
              <w:t>and catalytic</w:t>
            </w:r>
            <w:r>
              <w:rPr>
                <w:rFonts w:ascii="Calibri" w:eastAsia="Times New Roman" w:hAnsi="Calibri" w:cs="Calibri"/>
                <w:color w:val="44546A"/>
                <w:sz w:val="24"/>
                <w:szCs w:val="24"/>
              </w:rPr>
              <w:t xml:space="preserve">. </w:t>
            </w:r>
          </w:p>
          <w:p w14:paraId="68F61E2E" w14:textId="77777777" w:rsidR="002F6EF4" w:rsidRDefault="002F6EF4" w:rsidP="002F6EF4">
            <w:pPr>
              <w:pStyle w:val="ListParagraph"/>
              <w:numPr>
                <w:ilvl w:val="0"/>
                <w:numId w:val="2"/>
              </w:numPr>
              <w:ind w:left="450" w:hanging="270"/>
              <w:jc w:val="both"/>
              <w:rPr>
                <w:rFonts w:ascii="Calibri" w:eastAsia="Times New Roman" w:hAnsi="Calibri" w:cs="Calibri"/>
                <w:color w:val="44546A"/>
                <w:sz w:val="24"/>
                <w:szCs w:val="24"/>
              </w:rPr>
            </w:pPr>
            <w:r>
              <w:rPr>
                <w:rFonts w:ascii="Calibri" w:eastAsia="Times New Roman" w:hAnsi="Calibri" w:cs="Calibri"/>
                <w:color w:val="44546A"/>
                <w:sz w:val="24"/>
                <w:szCs w:val="24"/>
              </w:rPr>
              <w:t xml:space="preserve">Demonstrates, if the proposal includes a digital component, can serve in enhancing efficiencies of development interventions or enhancing impact in terms of development outcomes. </w:t>
            </w:r>
          </w:p>
          <w:p w14:paraId="44F0BF60" w14:textId="77777777" w:rsidR="002F6EF4" w:rsidRDefault="002F6EF4" w:rsidP="002F6EF4">
            <w:pPr>
              <w:pStyle w:val="ListParagraph"/>
              <w:numPr>
                <w:ilvl w:val="0"/>
                <w:numId w:val="2"/>
              </w:numPr>
              <w:ind w:left="450" w:hanging="270"/>
              <w:jc w:val="both"/>
              <w:rPr>
                <w:rFonts w:ascii="Calibri" w:eastAsia="Times New Roman" w:hAnsi="Calibri" w:cs="Calibri"/>
                <w:color w:val="44546A"/>
                <w:sz w:val="24"/>
                <w:szCs w:val="24"/>
              </w:rPr>
            </w:pPr>
            <w:r>
              <w:rPr>
                <w:rFonts w:ascii="Calibri" w:eastAsia="Times New Roman" w:hAnsi="Calibri" w:cs="Calibri"/>
                <w:color w:val="44546A"/>
                <w:sz w:val="24"/>
                <w:szCs w:val="24"/>
              </w:rPr>
              <w:t>Data and evidence-based approach</w:t>
            </w:r>
          </w:p>
          <w:p w14:paraId="62EA9898" w14:textId="77777777" w:rsidR="002F6EF4" w:rsidRPr="003F009F" w:rsidRDefault="002F6EF4" w:rsidP="002F6EF4">
            <w:pPr>
              <w:pStyle w:val="ListParagraph"/>
              <w:numPr>
                <w:ilvl w:val="0"/>
                <w:numId w:val="2"/>
              </w:numPr>
              <w:ind w:left="450" w:hanging="270"/>
              <w:jc w:val="both"/>
              <w:rPr>
                <w:rFonts w:ascii="Calibri" w:eastAsia="Times New Roman" w:hAnsi="Calibri" w:cs="Calibri"/>
                <w:color w:val="44546A"/>
                <w:sz w:val="24"/>
                <w:szCs w:val="24"/>
              </w:rPr>
            </w:pPr>
            <w:r>
              <w:rPr>
                <w:rFonts w:ascii="Calibri" w:eastAsia="Times New Roman" w:hAnsi="Calibri" w:cs="Calibri"/>
                <w:color w:val="44546A"/>
                <w:sz w:val="24"/>
                <w:szCs w:val="24"/>
              </w:rPr>
              <w:t xml:space="preserve">If feasible, draw on the exchange of experience, </w:t>
            </w:r>
            <w:proofErr w:type="gramStart"/>
            <w:r>
              <w:rPr>
                <w:rFonts w:ascii="Calibri" w:eastAsia="Times New Roman" w:hAnsi="Calibri" w:cs="Calibri"/>
                <w:color w:val="44546A"/>
                <w:sz w:val="24"/>
                <w:szCs w:val="24"/>
              </w:rPr>
              <w:t>knowledge</w:t>
            </w:r>
            <w:proofErr w:type="gramEnd"/>
            <w:r>
              <w:rPr>
                <w:rFonts w:ascii="Calibri" w:eastAsia="Times New Roman" w:hAnsi="Calibri" w:cs="Calibri"/>
                <w:color w:val="44546A"/>
                <w:sz w:val="24"/>
                <w:szCs w:val="24"/>
              </w:rPr>
              <w:t xml:space="preserve"> and expertise from other countries in the RBAS region and beyond</w:t>
            </w:r>
          </w:p>
          <w:p w14:paraId="72CECBD1" w14:textId="621E4FD5" w:rsidR="00F20BB6" w:rsidRPr="00F20BB6" w:rsidRDefault="00F20BB6" w:rsidP="00B32BF0">
            <w:pPr>
              <w:pStyle w:val="ListParagraph"/>
              <w:ind w:left="450"/>
              <w:jc w:val="both"/>
              <w:rPr>
                <w:rFonts w:ascii="Calibri" w:eastAsia="Times New Roman" w:hAnsi="Calibri" w:cs="Calibri"/>
                <w:color w:val="44546A"/>
                <w:sz w:val="24"/>
                <w:szCs w:val="24"/>
              </w:rPr>
            </w:pPr>
          </w:p>
        </w:tc>
        <w:tc>
          <w:tcPr>
            <w:tcW w:w="4765" w:type="dxa"/>
          </w:tcPr>
          <w:p w14:paraId="026DF3C3" w14:textId="77777777" w:rsidR="00F20BB6" w:rsidRDefault="00F20BB6" w:rsidP="00F20BB6">
            <w:pPr>
              <w:rPr>
                <w:rFonts w:ascii="Calibri" w:eastAsia="Times New Roman" w:hAnsi="Calibri" w:cs="Calibri"/>
                <w:b/>
                <w:bCs/>
                <w:color w:val="44546A"/>
                <w:sz w:val="32"/>
                <w:szCs w:val="32"/>
              </w:rPr>
            </w:pPr>
          </w:p>
        </w:tc>
      </w:tr>
      <w:tr w:rsidR="00F20BB6" w14:paraId="1229917F" w14:textId="77777777" w:rsidTr="00F20BB6">
        <w:tc>
          <w:tcPr>
            <w:tcW w:w="4765" w:type="dxa"/>
          </w:tcPr>
          <w:p w14:paraId="432933BF" w14:textId="3D80850E" w:rsidR="00F20BB6" w:rsidRPr="003F009F" w:rsidRDefault="00F20BB6" w:rsidP="00F20BB6">
            <w:pPr>
              <w:jc w:val="both"/>
              <w:rPr>
                <w:rFonts w:ascii="Calibri" w:eastAsia="Times New Roman" w:hAnsi="Calibri" w:cs="Calibri"/>
                <w:b/>
                <w:bCs/>
                <w:color w:val="44546A"/>
                <w:sz w:val="24"/>
                <w:szCs w:val="24"/>
              </w:rPr>
            </w:pPr>
            <w:r w:rsidRPr="003F009F">
              <w:rPr>
                <w:rFonts w:ascii="Calibri" w:eastAsia="Times New Roman" w:hAnsi="Calibri" w:cs="Calibri"/>
                <w:b/>
                <w:bCs/>
                <w:color w:val="44546A"/>
                <w:sz w:val="24"/>
                <w:szCs w:val="24"/>
              </w:rPr>
              <w:t>Relevance</w:t>
            </w:r>
            <w:r>
              <w:rPr>
                <w:rFonts w:ascii="Calibri" w:eastAsia="Times New Roman" w:hAnsi="Calibri" w:cs="Calibri"/>
                <w:b/>
                <w:bCs/>
                <w:color w:val="44546A"/>
                <w:sz w:val="24"/>
                <w:szCs w:val="24"/>
              </w:rPr>
              <w:t xml:space="preserve"> (maximum score 30)</w:t>
            </w:r>
            <w:r w:rsidRPr="003F009F">
              <w:rPr>
                <w:rFonts w:ascii="Calibri" w:eastAsia="Times New Roman" w:hAnsi="Calibri" w:cs="Calibri"/>
                <w:b/>
                <w:bCs/>
                <w:color w:val="44546A"/>
                <w:sz w:val="24"/>
                <w:szCs w:val="24"/>
              </w:rPr>
              <w:t xml:space="preserve">: </w:t>
            </w:r>
          </w:p>
          <w:p w14:paraId="36E64FF1" w14:textId="5BEF246E" w:rsidR="002F6EF4" w:rsidRPr="00C80483" w:rsidRDefault="002F6EF4" w:rsidP="002F6EF4">
            <w:pPr>
              <w:pStyle w:val="ListParagraph"/>
              <w:numPr>
                <w:ilvl w:val="0"/>
                <w:numId w:val="2"/>
              </w:numPr>
              <w:ind w:left="450" w:hanging="270"/>
              <w:jc w:val="both"/>
              <w:rPr>
                <w:rFonts w:ascii="Calibri" w:eastAsia="Times New Roman" w:hAnsi="Calibri" w:cs="Calibri"/>
                <w:color w:val="44546A"/>
                <w:sz w:val="24"/>
                <w:szCs w:val="24"/>
              </w:rPr>
            </w:pPr>
            <w:r>
              <w:rPr>
                <w:rFonts w:ascii="Calibri" w:eastAsia="Times New Roman" w:hAnsi="Calibri" w:cs="Calibri"/>
                <w:color w:val="44546A"/>
                <w:sz w:val="24"/>
                <w:szCs w:val="24"/>
              </w:rPr>
              <w:t>Linked and r</w:t>
            </w:r>
            <w:r w:rsidRPr="00C80483">
              <w:rPr>
                <w:rFonts w:ascii="Calibri" w:eastAsia="Times New Roman" w:hAnsi="Calibri" w:cs="Calibri"/>
                <w:color w:val="44546A"/>
                <w:sz w:val="24"/>
                <w:szCs w:val="24"/>
              </w:rPr>
              <w:t xml:space="preserve">esponds to national challenges and priorities of the benefitting </w:t>
            </w:r>
            <w:r w:rsidR="00B32BF0" w:rsidRPr="00C80483">
              <w:rPr>
                <w:rFonts w:ascii="Calibri" w:eastAsia="Times New Roman" w:hAnsi="Calibri" w:cs="Calibri"/>
                <w:color w:val="44546A"/>
                <w:sz w:val="24"/>
                <w:szCs w:val="24"/>
              </w:rPr>
              <w:t>country</w:t>
            </w:r>
            <w:r w:rsidR="00B32BF0">
              <w:rPr>
                <w:rFonts w:ascii="Calibri" w:eastAsia="Times New Roman" w:hAnsi="Calibri" w:cs="Calibri"/>
                <w:color w:val="44546A"/>
                <w:sz w:val="24"/>
                <w:szCs w:val="24"/>
              </w:rPr>
              <w:t xml:space="preserve"> and</w:t>
            </w:r>
            <w:r>
              <w:rPr>
                <w:rFonts w:ascii="Calibri" w:eastAsia="Times New Roman" w:hAnsi="Calibri" w:cs="Calibri"/>
                <w:color w:val="44546A"/>
                <w:sz w:val="24"/>
                <w:szCs w:val="24"/>
              </w:rPr>
              <w:t xml:space="preserve"> aligned with the respective CPDs</w:t>
            </w:r>
            <w:r w:rsidRPr="00C80483">
              <w:rPr>
                <w:rFonts w:ascii="Calibri" w:eastAsia="Times New Roman" w:hAnsi="Calibri" w:cs="Calibri"/>
                <w:color w:val="44546A"/>
                <w:sz w:val="24"/>
                <w:szCs w:val="24"/>
              </w:rPr>
              <w:t xml:space="preserve">. </w:t>
            </w:r>
          </w:p>
          <w:p w14:paraId="3C9593C3" w14:textId="77777777" w:rsidR="002F6EF4" w:rsidRPr="00C80483" w:rsidRDefault="002F6EF4" w:rsidP="002F6EF4">
            <w:pPr>
              <w:pStyle w:val="ListParagraph"/>
              <w:numPr>
                <w:ilvl w:val="0"/>
                <w:numId w:val="2"/>
              </w:numPr>
              <w:ind w:left="450" w:hanging="270"/>
              <w:jc w:val="both"/>
              <w:rPr>
                <w:rFonts w:ascii="Calibri" w:eastAsia="Times New Roman" w:hAnsi="Calibri" w:cs="Calibri"/>
                <w:color w:val="44546A"/>
                <w:sz w:val="24"/>
                <w:szCs w:val="24"/>
              </w:rPr>
            </w:pPr>
            <w:r>
              <w:rPr>
                <w:rFonts w:ascii="Calibri" w:eastAsia="Times New Roman" w:hAnsi="Calibri" w:cs="Calibri"/>
                <w:color w:val="44546A"/>
                <w:sz w:val="24"/>
                <w:szCs w:val="24"/>
              </w:rPr>
              <w:t>Advances</w:t>
            </w:r>
            <w:r w:rsidRPr="00C80483">
              <w:rPr>
                <w:rFonts w:ascii="Calibri" w:eastAsia="Times New Roman" w:hAnsi="Calibri" w:cs="Calibri"/>
                <w:color w:val="44546A"/>
                <w:sz w:val="24"/>
                <w:szCs w:val="24"/>
              </w:rPr>
              <w:t xml:space="preserve"> RBAS’ contribution to the implementation of the Strategic Plan 2022-2025</w:t>
            </w:r>
            <w:r>
              <w:rPr>
                <w:rFonts w:ascii="Calibri" w:eastAsia="Times New Roman" w:hAnsi="Calibri" w:cs="Calibri"/>
                <w:color w:val="44546A"/>
                <w:sz w:val="24"/>
                <w:szCs w:val="24"/>
              </w:rPr>
              <w:t xml:space="preserve"> (3X6X3), </w:t>
            </w:r>
            <w:r w:rsidRPr="001D1192">
              <w:rPr>
                <w:rFonts w:ascii="Calibri" w:eastAsia="Times New Roman" w:hAnsi="Calibri" w:cs="Calibri"/>
                <w:color w:val="44546A"/>
                <w:sz w:val="24"/>
                <w:szCs w:val="24"/>
              </w:rPr>
              <w:t xml:space="preserve">its direction of changes, </w:t>
            </w:r>
            <w:proofErr w:type="gramStart"/>
            <w:r w:rsidRPr="001D1192">
              <w:rPr>
                <w:rFonts w:ascii="Calibri" w:eastAsia="Times New Roman" w:hAnsi="Calibri" w:cs="Calibri"/>
                <w:color w:val="44546A"/>
                <w:sz w:val="24"/>
                <w:szCs w:val="24"/>
              </w:rPr>
              <w:t>enable</w:t>
            </w:r>
            <w:r>
              <w:rPr>
                <w:rFonts w:ascii="Calibri" w:eastAsia="Times New Roman" w:hAnsi="Calibri" w:cs="Calibri"/>
                <w:color w:val="44546A"/>
                <w:sz w:val="24"/>
                <w:szCs w:val="24"/>
              </w:rPr>
              <w:t>r</w:t>
            </w:r>
            <w:r w:rsidRPr="001D1192">
              <w:rPr>
                <w:rFonts w:ascii="Calibri" w:eastAsia="Times New Roman" w:hAnsi="Calibri" w:cs="Calibri"/>
                <w:color w:val="44546A"/>
                <w:sz w:val="24"/>
                <w:szCs w:val="24"/>
              </w:rPr>
              <w:t>s</w:t>
            </w:r>
            <w:proofErr w:type="gramEnd"/>
            <w:r w:rsidRPr="001D1192">
              <w:rPr>
                <w:rFonts w:ascii="Calibri" w:eastAsia="Times New Roman" w:hAnsi="Calibri" w:cs="Calibri"/>
                <w:color w:val="44546A"/>
                <w:sz w:val="24"/>
                <w:szCs w:val="24"/>
              </w:rPr>
              <w:t xml:space="preserve"> and signature solutions.</w:t>
            </w:r>
          </w:p>
          <w:p w14:paraId="5152770E" w14:textId="77777777" w:rsidR="002F6EF4" w:rsidRDefault="002F6EF4" w:rsidP="002F6EF4">
            <w:pPr>
              <w:pStyle w:val="ListParagraph"/>
              <w:numPr>
                <w:ilvl w:val="0"/>
                <w:numId w:val="2"/>
              </w:numPr>
              <w:ind w:left="450" w:hanging="270"/>
              <w:jc w:val="both"/>
              <w:rPr>
                <w:rFonts w:ascii="Calibri" w:eastAsia="Times New Roman" w:hAnsi="Calibri" w:cs="Calibri"/>
                <w:color w:val="44546A"/>
                <w:sz w:val="24"/>
                <w:szCs w:val="24"/>
              </w:rPr>
            </w:pPr>
            <w:r w:rsidRPr="00C80483">
              <w:rPr>
                <w:rFonts w:ascii="Calibri" w:eastAsia="Times New Roman" w:hAnsi="Calibri" w:cs="Calibri"/>
                <w:color w:val="44546A"/>
                <w:sz w:val="24"/>
                <w:szCs w:val="24"/>
              </w:rPr>
              <w:t xml:space="preserve">Positions UNDP strategically within </w:t>
            </w:r>
            <w:r>
              <w:rPr>
                <w:rFonts w:ascii="Calibri" w:eastAsia="Times New Roman" w:hAnsi="Calibri" w:cs="Calibri"/>
                <w:color w:val="44546A"/>
                <w:sz w:val="24"/>
                <w:szCs w:val="24"/>
              </w:rPr>
              <w:t>high-potential or</w:t>
            </w:r>
            <w:r w:rsidRPr="00C80483">
              <w:rPr>
                <w:rFonts w:ascii="Calibri" w:eastAsia="Times New Roman" w:hAnsi="Calibri" w:cs="Calibri"/>
                <w:color w:val="44546A"/>
                <w:sz w:val="24"/>
                <w:szCs w:val="24"/>
              </w:rPr>
              <w:t xml:space="preserve"> emerging policy areas</w:t>
            </w:r>
            <w:r>
              <w:rPr>
                <w:rFonts w:ascii="Calibri" w:eastAsia="Times New Roman" w:hAnsi="Calibri" w:cs="Calibri"/>
                <w:color w:val="44546A"/>
                <w:sz w:val="24"/>
                <w:szCs w:val="24"/>
              </w:rPr>
              <w:t xml:space="preserve"> (for contributing to high impact, scaling up, or resource mobilization potential)</w:t>
            </w:r>
            <w:r w:rsidRPr="00C80483">
              <w:rPr>
                <w:rFonts w:ascii="Calibri" w:eastAsia="Times New Roman" w:hAnsi="Calibri" w:cs="Calibri"/>
                <w:color w:val="44546A"/>
                <w:sz w:val="24"/>
                <w:szCs w:val="24"/>
              </w:rPr>
              <w:t>.</w:t>
            </w:r>
          </w:p>
          <w:p w14:paraId="63AE3E68" w14:textId="77777777" w:rsidR="002F6EF4" w:rsidRDefault="002F6EF4" w:rsidP="002F6EF4">
            <w:pPr>
              <w:pStyle w:val="ListParagraph"/>
              <w:numPr>
                <w:ilvl w:val="0"/>
                <w:numId w:val="2"/>
              </w:numPr>
              <w:ind w:left="450" w:hanging="270"/>
              <w:jc w:val="both"/>
              <w:rPr>
                <w:rFonts w:ascii="Calibri" w:eastAsia="Times New Roman" w:hAnsi="Calibri" w:cs="Calibri"/>
                <w:color w:val="44546A"/>
                <w:sz w:val="24"/>
                <w:szCs w:val="24"/>
              </w:rPr>
            </w:pPr>
            <w:r>
              <w:rPr>
                <w:rFonts w:ascii="Calibri" w:eastAsia="Times New Roman" w:hAnsi="Calibri" w:cs="Calibri"/>
                <w:color w:val="44546A"/>
                <w:sz w:val="24"/>
                <w:szCs w:val="24"/>
              </w:rPr>
              <w:t xml:space="preserve">Enable UNDP to advance an integrated approach to development solutions, in line with national ownership and nationally led initiatives. </w:t>
            </w:r>
          </w:p>
          <w:p w14:paraId="11B51785" w14:textId="2289B854" w:rsidR="00F20BB6" w:rsidRPr="00F20BB6" w:rsidRDefault="00F20BB6" w:rsidP="00B32BF0">
            <w:pPr>
              <w:rPr>
                <w:rFonts w:eastAsia="Times New Roman"/>
              </w:rPr>
            </w:pPr>
          </w:p>
        </w:tc>
        <w:tc>
          <w:tcPr>
            <w:tcW w:w="4765" w:type="dxa"/>
          </w:tcPr>
          <w:p w14:paraId="6B540AA7" w14:textId="77777777" w:rsidR="00F20BB6" w:rsidRDefault="00F20BB6" w:rsidP="00F20BB6">
            <w:pPr>
              <w:rPr>
                <w:rFonts w:ascii="Calibri" w:eastAsia="Times New Roman" w:hAnsi="Calibri" w:cs="Calibri"/>
                <w:b/>
                <w:bCs/>
                <w:color w:val="44546A"/>
                <w:sz w:val="32"/>
                <w:szCs w:val="32"/>
              </w:rPr>
            </w:pPr>
          </w:p>
        </w:tc>
      </w:tr>
      <w:tr w:rsidR="00F20BB6" w14:paraId="49FD6A95" w14:textId="77777777" w:rsidTr="00F20BB6">
        <w:tc>
          <w:tcPr>
            <w:tcW w:w="4765" w:type="dxa"/>
          </w:tcPr>
          <w:p w14:paraId="3C13235F" w14:textId="35CE5D29" w:rsidR="00F20BB6" w:rsidRPr="003F009F" w:rsidRDefault="00F20BB6" w:rsidP="00F20BB6">
            <w:pPr>
              <w:jc w:val="both"/>
              <w:rPr>
                <w:rFonts w:ascii="Calibri" w:eastAsia="Times New Roman" w:hAnsi="Calibri" w:cs="Calibri"/>
                <w:b/>
                <w:bCs/>
                <w:color w:val="44546A"/>
                <w:sz w:val="24"/>
                <w:szCs w:val="24"/>
              </w:rPr>
            </w:pPr>
            <w:r w:rsidRPr="003F009F">
              <w:rPr>
                <w:rFonts w:ascii="Calibri" w:eastAsia="Times New Roman" w:hAnsi="Calibri" w:cs="Calibri"/>
                <w:b/>
                <w:bCs/>
                <w:color w:val="44546A"/>
                <w:sz w:val="24"/>
                <w:szCs w:val="24"/>
              </w:rPr>
              <w:t>Potential for scaling up</w:t>
            </w:r>
            <w:r>
              <w:rPr>
                <w:rFonts w:ascii="Calibri" w:eastAsia="Times New Roman" w:hAnsi="Calibri" w:cs="Calibri"/>
                <w:b/>
                <w:bCs/>
                <w:color w:val="44546A"/>
                <w:sz w:val="24"/>
                <w:szCs w:val="24"/>
              </w:rPr>
              <w:t xml:space="preserve"> (maximum score </w:t>
            </w:r>
            <w:r w:rsidR="00995F01">
              <w:rPr>
                <w:rFonts w:ascii="Calibri" w:eastAsia="Times New Roman" w:hAnsi="Calibri" w:cs="Calibri"/>
                <w:b/>
                <w:bCs/>
                <w:color w:val="44546A"/>
                <w:sz w:val="24"/>
                <w:szCs w:val="24"/>
              </w:rPr>
              <w:t>40</w:t>
            </w:r>
            <w:r>
              <w:rPr>
                <w:rFonts w:ascii="Calibri" w:eastAsia="Times New Roman" w:hAnsi="Calibri" w:cs="Calibri"/>
                <w:b/>
                <w:bCs/>
                <w:color w:val="44546A"/>
                <w:sz w:val="24"/>
                <w:szCs w:val="24"/>
              </w:rPr>
              <w:t>)</w:t>
            </w:r>
            <w:r w:rsidRPr="003F009F">
              <w:rPr>
                <w:rFonts w:ascii="Calibri" w:eastAsia="Times New Roman" w:hAnsi="Calibri" w:cs="Calibri"/>
                <w:b/>
                <w:bCs/>
                <w:color w:val="44546A"/>
                <w:sz w:val="24"/>
                <w:szCs w:val="24"/>
              </w:rPr>
              <w:t>:</w:t>
            </w:r>
          </w:p>
          <w:p w14:paraId="61B0235C" w14:textId="77777777" w:rsidR="002F6EF4" w:rsidRDefault="002F6EF4" w:rsidP="002F6EF4">
            <w:pPr>
              <w:pStyle w:val="ListParagraph"/>
              <w:numPr>
                <w:ilvl w:val="0"/>
                <w:numId w:val="2"/>
              </w:numPr>
              <w:ind w:left="450" w:hanging="270"/>
              <w:jc w:val="both"/>
              <w:rPr>
                <w:rFonts w:ascii="Calibri" w:eastAsia="Times New Roman" w:hAnsi="Calibri" w:cs="Calibri"/>
                <w:color w:val="44546A"/>
                <w:sz w:val="24"/>
                <w:szCs w:val="24"/>
              </w:rPr>
            </w:pPr>
            <w:r w:rsidRPr="00C80483">
              <w:rPr>
                <w:rFonts w:ascii="Calibri" w:eastAsia="Times New Roman" w:hAnsi="Calibri" w:cs="Calibri"/>
                <w:color w:val="44546A"/>
                <w:sz w:val="24"/>
                <w:szCs w:val="24"/>
              </w:rPr>
              <w:t>Leads to forging new partnerships or leverages and expands exi</w:t>
            </w:r>
            <w:r>
              <w:rPr>
                <w:rFonts w:ascii="Calibri" w:eastAsia="Times New Roman" w:hAnsi="Calibri" w:cs="Calibri"/>
                <w:color w:val="44546A"/>
                <w:sz w:val="24"/>
                <w:szCs w:val="24"/>
              </w:rPr>
              <w:t>s</w:t>
            </w:r>
            <w:r w:rsidRPr="00C80483">
              <w:rPr>
                <w:rFonts w:ascii="Calibri" w:eastAsia="Times New Roman" w:hAnsi="Calibri" w:cs="Calibri"/>
                <w:color w:val="44546A"/>
                <w:sz w:val="24"/>
                <w:szCs w:val="24"/>
              </w:rPr>
              <w:t>ting partnerships</w:t>
            </w:r>
            <w:r>
              <w:rPr>
                <w:rFonts w:ascii="Calibri" w:eastAsia="Times New Roman" w:hAnsi="Calibri" w:cs="Calibri"/>
                <w:color w:val="44546A"/>
                <w:sz w:val="24"/>
                <w:szCs w:val="24"/>
              </w:rPr>
              <w:t>, including with other UN agencies/ IFIs</w:t>
            </w:r>
            <w:r w:rsidRPr="00C80483">
              <w:rPr>
                <w:rFonts w:ascii="Calibri" w:eastAsia="Times New Roman" w:hAnsi="Calibri" w:cs="Calibri"/>
                <w:color w:val="44546A"/>
                <w:sz w:val="24"/>
                <w:szCs w:val="24"/>
              </w:rPr>
              <w:t>.</w:t>
            </w:r>
          </w:p>
          <w:p w14:paraId="3D4962F4" w14:textId="77777777" w:rsidR="002F6EF4" w:rsidRDefault="002F6EF4" w:rsidP="002F6EF4">
            <w:pPr>
              <w:pStyle w:val="ListParagraph"/>
              <w:numPr>
                <w:ilvl w:val="0"/>
                <w:numId w:val="2"/>
              </w:numPr>
              <w:ind w:left="450" w:hanging="270"/>
              <w:jc w:val="both"/>
              <w:rPr>
                <w:rFonts w:ascii="Calibri" w:eastAsia="Times New Roman" w:hAnsi="Calibri" w:cs="Calibri"/>
                <w:color w:val="44546A"/>
                <w:sz w:val="24"/>
                <w:szCs w:val="24"/>
              </w:rPr>
            </w:pPr>
            <w:r w:rsidRPr="00C80483">
              <w:rPr>
                <w:rFonts w:ascii="Calibri" w:eastAsia="Times New Roman" w:hAnsi="Calibri" w:cs="Calibri"/>
                <w:color w:val="44546A"/>
                <w:sz w:val="24"/>
                <w:szCs w:val="24"/>
              </w:rPr>
              <w:t xml:space="preserve"> </w:t>
            </w:r>
            <w:r>
              <w:rPr>
                <w:rFonts w:ascii="Calibri" w:eastAsia="Times New Roman" w:hAnsi="Calibri" w:cs="Calibri"/>
                <w:color w:val="44546A"/>
                <w:sz w:val="24"/>
                <w:szCs w:val="24"/>
              </w:rPr>
              <w:t>If the proposal is UNDP-focused, has potential to contribute to high impact, future resource mobilization or upstream impact including incorporation into national policy.</w:t>
            </w:r>
          </w:p>
          <w:p w14:paraId="4365FF03" w14:textId="77777777" w:rsidR="002F6EF4" w:rsidRPr="00AD06C1" w:rsidRDefault="002F6EF4" w:rsidP="002F6EF4">
            <w:pPr>
              <w:pStyle w:val="ListParagraph"/>
              <w:numPr>
                <w:ilvl w:val="0"/>
                <w:numId w:val="2"/>
              </w:numPr>
              <w:ind w:left="450" w:hanging="270"/>
              <w:jc w:val="both"/>
              <w:rPr>
                <w:rFonts w:ascii="Calibri" w:eastAsia="Times New Roman" w:hAnsi="Calibri" w:cs="Calibri"/>
                <w:color w:val="44546A"/>
                <w:sz w:val="24"/>
                <w:szCs w:val="24"/>
              </w:rPr>
            </w:pPr>
            <w:r>
              <w:rPr>
                <w:rFonts w:ascii="Calibri" w:eastAsia="Times New Roman" w:hAnsi="Calibri" w:cs="Calibri"/>
                <w:color w:val="44546A"/>
                <w:sz w:val="24"/>
                <w:szCs w:val="24"/>
              </w:rPr>
              <w:t xml:space="preserve">Strong partnership with national institutions and clear sustainability strategy. If relevant, sub-regional collaborations could also be developed.  </w:t>
            </w:r>
            <w:r w:rsidRPr="00AD06C1">
              <w:rPr>
                <w:rFonts w:eastAsia="Times New Roman"/>
              </w:rPr>
              <w:t xml:space="preserve"> </w:t>
            </w:r>
          </w:p>
          <w:p w14:paraId="5FBF6D1B" w14:textId="387684B8" w:rsidR="00F20BB6" w:rsidRPr="00F20BB6" w:rsidRDefault="00F20BB6" w:rsidP="00B32BF0">
            <w:pPr>
              <w:pStyle w:val="ListParagraph"/>
              <w:ind w:left="450"/>
              <w:jc w:val="both"/>
              <w:rPr>
                <w:rFonts w:ascii="Calibri" w:eastAsia="Times New Roman" w:hAnsi="Calibri" w:cs="Calibri"/>
                <w:color w:val="44546A"/>
                <w:sz w:val="24"/>
                <w:szCs w:val="24"/>
              </w:rPr>
            </w:pPr>
          </w:p>
        </w:tc>
        <w:tc>
          <w:tcPr>
            <w:tcW w:w="4765" w:type="dxa"/>
          </w:tcPr>
          <w:p w14:paraId="4DC998F2" w14:textId="77777777" w:rsidR="00F20BB6" w:rsidRDefault="00F20BB6" w:rsidP="00F20BB6">
            <w:pPr>
              <w:rPr>
                <w:rFonts w:ascii="Calibri" w:eastAsia="Times New Roman" w:hAnsi="Calibri" w:cs="Calibri"/>
                <w:b/>
                <w:bCs/>
                <w:color w:val="44546A"/>
                <w:sz w:val="32"/>
                <w:szCs w:val="32"/>
              </w:rPr>
            </w:pPr>
          </w:p>
        </w:tc>
      </w:tr>
      <w:tr w:rsidR="00F20BB6" w14:paraId="0210C8BE" w14:textId="77777777" w:rsidTr="00F20BB6">
        <w:tc>
          <w:tcPr>
            <w:tcW w:w="4765" w:type="dxa"/>
          </w:tcPr>
          <w:p w14:paraId="19EEBAD6" w14:textId="7D835AEF" w:rsidR="00F20BB6" w:rsidRDefault="00F20BB6" w:rsidP="00F20BB6">
            <w:pPr>
              <w:rPr>
                <w:rFonts w:ascii="Calibri" w:eastAsia="Times New Roman" w:hAnsi="Calibri" w:cs="Calibri"/>
                <w:b/>
                <w:bCs/>
                <w:color w:val="44546A"/>
                <w:sz w:val="32"/>
                <w:szCs w:val="32"/>
              </w:rPr>
            </w:pPr>
            <w:r>
              <w:rPr>
                <w:rFonts w:ascii="Calibri" w:eastAsia="Times New Roman" w:hAnsi="Calibri" w:cs="Calibri"/>
                <w:b/>
                <w:bCs/>
                <w:color w:val="44546A"/>
                <w:sz w:val="32"/>
                <w:szCs w:val="32"/>
              </w:rPr>
              <w:t>Total (maximum score 100):</w:t>
            </w:r>
          </w:p>
        </w:tc>
        <w:tc>
          <w:tcPr>
            <w:tcW w:w="4765" w:type="dxa"/>
          </w:tcPr>
          <w:p w14:paraId="76825C03" w14:textId="77777777" w:rsidR="00F20BB6" w:rsidRDefault="00F20BB6" w:rsidP="00F20BB6">
            <w:pPr>
              <w:rPr>
                <w:rFonts w:ascii="Calibri" w:eastAsia="Times New Roman" w:hAnsi="Calibri" w:cs="Calibri"/>
                <w:b/>
                <w:bCs/>
                <w:color w:val="44546A"/>
                <w:sz w:val="32"/>
                <w:szCs w:val="32"/>
              </w:rPr>
            </w:pPr>
          </w:p>
        </w:tc>
      </w:tr>
    </w:tbl>
    <w:p w14:paraId="35817CE6" w14:textId="43A15ED1" w:rsidR="00F20BB6" w:rsidRDefault="00F20BB6" w:rsidP="00F20BB6">
      <w:pPr>
        <w:spacing w:after="0" w:line="240" w:lineRule="auto"/>
        <w:rPr>
          <w:rFonts w:ascii="Calibri" w:eastAsia="Times New Roman" w:hAnsi="Calibri" w:cs="Calibri"/>
          <w:b/>
          <w:bCs/>
          <w:color w:val="44546A"/>
          <w:sz w:val="32"/>
          <w:szCs w:val="32"/>
        </w:rPr>
      </w:pPr>
    </w:p>
    <w:p w14:paraId="54F072A2" w14:textId="77777777" w:rsidR="007A6594" w:rsidRDefault="007A6594" w:rsidP="00024F5D">
      <w:pPr>
        <w:adjustRightInd w:val="0"/>
        <w:snapToGrid w:val="0"/>
        <w:spacing w:after="0" w:line="240" w:lineRule="auto"/>
        <w:jc w:val="both"/>
        <w:rPr>
          <w:rFonts w:eastAsiaTheme="minorEastAsia" w:cstheme="minorHAnsi"/>
          <w:b/>
          <w:bCs/>
        </w:rPr>
      </w:pPr>
    </w:p>
    <w:p w14:paraId="254EFF68" w14:textId="17B6A54E" w:rsidR="00024F5D" w:rsidRPr="007A6594" w:rsidRDefault="00024F5D" w:rsidP="00524376">
      <w:pPr>
        <w:shd w:val="clear" w:color="auto" w:fill="B4C6E7" w:themeFill="accent1" w:themeFillTint="66"/>
        <w:spacing w:after="0" w:line="240" w:lineRule="auto"/>
        <w:ind w:left="-180" w:hanging="180"/>
        <w:rPr>
          <w:rFonts w:ascii="Calibri" w:eastAsia="Times New Roman" w:hAnsi="Calibri" w:cs="Calibri"/>
          <w:b/>
          <w:bCs/>
          <w:color w:val="44546A"/>
          <w:sz w:val="28"/>
          <w:szCs w:val="28"/>
        </w:rPr>
      </w:pPr>
      <w:r w:rsidRPr="007A6594">
        <w:rPr>
          <w:rFonts w:ascii="Calibri" w:eastAsia="Times New Roman" w:hAnsi="Calibri" w:cs="Calibri"/>
          <w:b/>
          <w:bCs/>
          <w:color w:val="44546A"/>
          <w:sz w:val="28"/>
          <w:szCs w:val="28"/>
        </w:rPr>
        <w:t>Technical Recommendation – Summary (100 words maximum)</w:t>
      </w:r>
    </w:p>
    <w:p w14:paraId="3B08EA96" w14:textId="601C5222" w:rsidR="00024F5D" w:rsidRDefault="00024F5D" w:rsidP="00024F5D">
      <w:pPr>
        <w:adjustRightInd w:val="0"/>
        <w:snapToGrid w:val="0"/>
        <w:spacing w:after="0" w:line="240" w:lineRule="auto"/>
        <w:jc w:val="both"/>
        <w:rPr>
          <w:rFonts w:eastAsiaTheme="minorEastAsia" w:cstheme="minorHAnsi"/>
          <w:b/>
          <w:bCs/>
        </w:rPr>
      </w:pPr>
    </w:p>
    <w:tbl>
      <w:tblPr>
        <w:tblStyle w:val="TableGrid"/>
        <w:tblW w:w="9900" w:type="dxa"/>
        <w:tblInd w:w="-365" w:type="dxa"/>
        <w:tblLook w:val="04A0" w:firstRow="1" w:lastRow="0" w:firstColumn="1" w:lastColumn="0" w:noHBand="0" w:noVBand="1"/>
      </w:tblPr>
      <w:tblGrid>
        <w:gridCol w:w="9900"/>
      </w:tblGrid>
      <w:tr w:rsidR="00D4131D" w:rsidRPr="002F6EF4" w14:paraId="2B8D706C" w14:textId="77777777" w:rsidTr="007A6594">
        <w:tc>
          <w:tcPr>
            <w:tcW w:w="9900" w:type="dxa"/>
          </w:tcPr>
          <w:p w14:paraId="6E28482E" w14:textId="77777777" w:rsidR="00D4131D" w:rsidRPr="00B32BF0" w:rsidRDefault="00D4131D" w:rsidP="00024F5D">
            <w:pPr>
              <w:adjustRightInd w:val="0"/>
              <w:snapToGrid w:val="0"/>
              <w:jc w:val="both"/>
              <w:rPr>
                <w:rFonts w:cstheme="minorHAnsi"/>
                <w:b/>
                <w:bCs/>
                <w:sz w:val="24"/>
                <w:szCs w:val="24"/>
              </w:rPr>
            </w:pPr>
          </w:p>
          <w:p w14:paraId="566C5160" w14:textId="77777777" w:rsidR="00D4131D" w:rsidRPr="00B32BF0" w:rsidRDefault="00D4131D" w:rsidP="00024F5D">
            <w:pPr>
              <w:adjustRightInd w:val="0"/>
              <w:snapToGrid w:val="0"/>
              <w:jc w:val="both"/>
              <w:rPr>
                <w:rFonts w:cstheme="minorHAnsi"/>
                <w:b/>
                <w:bCs/>
                <w:sz w:val="24"/>
                <w:szCs w:val="24"/>
              </w:rPr>
            </w:pPr>
          </w:p>
          <w:p w14:paraId="447998DD" w14:textId="1BBCEB33" w:rsidR="00D4131D" w:rsidRPr="00B32BF0" w:rsidRDefault="002F6EF4" w:rsidP="00024F5D">
            <w:pPr>
              <w:adjustRightInd w:val="0"/>
              <w:snapToGrid w:val="0"/>
              <w:jc w:val="both"/>
              <w:rPr>
                <w:rFonts w:cstheme="minorHAnsi"/>
                <w:b/>
                <w:bCs/>
                <w:sz w:val="24"/>
                <w:szCs w:val="24"/>
              </w:rPr>
            </w:pPr>
            <w:r w:rsidRPr="00B32BF0">
              <w:rPr>
                <w:rFonts w:cstheme="minorHAnsi"/>
                <w:b/>
                <w:bCs/>
                <w:sz w:val="24"/>
                <w:szCs w:val="24"/>
              </w:rPr>
              <w:t xml:space="preserve">Summary: </w:t>
            </w:r>
          </w:p>
          <w:p w14:paraId="3D78F67B" w14:textId="77777777" w:rsidR="00D4131D" w:rsidRPr="00B32BF0" w:rsidRDefault="00D4131D" w:rsidP="00024F5D">
            <w:pPr>
              <w:adjustRightInd w:val="0"/>
              <w:snapToGrid w:val="0"/>
              <w:jc w:val="both"/>
              <w:rPr>
                <w:rFonts w:cstheme="minorHAnsi"/>
                <w:b/>
                <w:bCs/>
                <w:sz w:val="24"/>
                <w:szCs w:val="24"/>
              </w:rPr>
            </w:pPr>
          </w:p>
          <w:p w14:paraId="338EEDD4" w14:textId="77777777" w:rsidR="00D4131D" w:rsidRPr="00B32BF0" w:rsidRDefault="00D4131D" w:rsidP="00024F5D">
            <w:pPr>
              <w:adjustRightInd w:val="0"/>
              <w:snapToGrid w:val="0"/>
              <w:jc w:val="both"/>
              <w:rPr>
                <w:rFonts w:cstheme="minorHAnsi"/>
                <w:b/>
                <w:bCs/>
                <w:sz w:val="24"/>
                <w:szCs w:val="24"/>
              </w:rPr>
            </w:pPr>
          </w:p>
          <w:p w14:paraId="6DE57445" w14:textId="3EE0A76F" w:rsidR="00D4131D" w:rsidRDefault="00D4131D" w:rsidP="00024F5D">
            <w:pPr>
              <w:adjustRightInd w:val="0"/>
              <w:snapToGrid w:val="0"/>
              <w:jc w:val="both"/>
              <w:rPr>
                <w:rFonts w:cstheme="minorHAnsi"/>
                <w:b/>
                <w:bCs/>
                <w:sz w:val="24"/>
                <w:szCs w:val="24"/>
              </w:rPr>
            </w:pPr>
          </w:p>
          <w:p w14:paraId="4B843446" w14:textId="29D6514D" w:rsidR="002F6EF4" w:rsidRDefault="002F6EF4" w:rsidP="00024F5D">
            <w:pPr>
              <w:adjustRightInd w:val="0"/>
              <w:snapToGrid w:val="0"/>
              <w:jc w:val="both"/>
              <w:rPr>
                <w:rFonts w:cstheme="minorHAnsi"/>
                <w:b/>
                <w:bCs/>
                <w:sz w:val="24"/>
                <w:szCs w:val="24"/>
              </w:rPr>
            </w:pPr>
          </w:p>
          <w:p w14:paraId="1DF9B1B8" w14:textId="0F23A2E8" w:rsidR="002F6EF4" w:rsidRDefault="002F6EF4" w:rsidP="00024F5D">
            <w:pPr>
              <w:adjustRightInd w:val="0"/>
              <w:snapToGrid w:val="0"/>
              <w:jc w:val="both"/>
              <w:rPr>
                <w:rFonts w:cstheme="minorHAnsi"/>
                <w:b/>
                <w:bCs/>
                <w:sz w:val="24"/>
                <w:szCs w:val="24"/>
              </w:rPr>
            </w:pPr>
          </w:p>
          <w:p w14:paraId="652D678F" w14:textId="77777777" w:rsidR="002F6EF4" w:rsidRPr="00B32BF0" w:rsidRDefault="002F6EF4" w:rsidP="00024F5D">
            <w:pPr>
              <w:adjustRightInd w:val="0"/>
              <w:snapToGrid w:val="0"/>
              <w:jc w:val="both"/>
              <w:rPr>
                <w:rFonts w:cstheme="minorHAnsi"/>
                <w:b/>
                <w:bCs/>
                <w:sz w:val="24"/>
                <w:szCs w:val="24"/>
              </w:rPr>
            </w:pPr>
          </w:p>
          <w:p w14:paraId="23A70AA4" w14:textId="1F4F4396" w:rsidR="00D4131D" w:rsidRPr="00B32BF0" w:rsidRDefault="002F6EF4" w:rsidP="00024F5D">
            <w:pPr>
              <w:adjustRightInd w:val="0"/>
              <w:snapToGrid w:val="0"/>
              <w:jc w:val="both"/>
              <w:rPr>
                <w:rFonts w:cstheme="minorHAnsi"/>
                <w:b/>
                <w:bCs/>
                <w:sz w:val="24"/>
                <w:szCs w:val="24"/>
              </w:rPr>
            </w:pPr>
            <w:r>
              <w:rPr>
                <w:rFonts w:cstheme="minorHAnsi"/>
                <w:b/>
                <w:bCs/>
                <w:sz w:val="24"/>
                <w:szCs w:val="24"/>
              </w:rPr>
              <w:t>Recommendation to RD:</w:t>
            </w:r>
          </w:p>
          <w:p w14:paraId="34F0748A" w14:textId="77777777" w:rsidR="00D4131D" w:rsidRPr="00B32BF0" w:rsidRDefault="00D4131D" w:rsidP="00024F5D">
            <w:pPr>
              <w:adjustRightInd w:val="0"/>
              <w:snapToGrid w:val="0"/>
              <w:jc w:val="both"/>
              <w:rPr>
                <w:rFonts w:cstheme="minorHAnsi"/>
                <w:b/>
                <w:bCs/>
                <w:sz w:val="24"/>
                <w:szCs w:val="24"/>
              </w:rPr>
            </w:pPr>
          </w:p>
          <w:p w14:paraId="4C6DCE3A" w14:textId="0A352C48" w:rsidR="00D4131D" w:rsidRPr="00B32BF0" w:rsidRDefault="00D4131D" w:rsidP="00024F5D">
            <w:pPr>
              <w:adjustRightInd w:val="0"/>
              <w:snapToGrid w:val="0"/>
              <w:jc w:val="both"/>
              <w:rPr>
                <w:rFonts w:cstheme="minorHAnsi"/>
                <w:b/>
                <w:bCs/>
                <w:sz w:val="24"/>
                <w:szCs w:val="24"/>
              </w:rPr>
            </w:pPr>
          </w:p>
        </w:tc>
      </w:tr>
    </w:tbl>
    <w:p w14:paraId="3987D3CB" w14:textId="5905906C" w:rsidR="00024F5D" w:rsidRDefault="00024F5D" w:rsidP="00024F5D">
      <w:pPr>
        <w:adjustRightInd w:val="0"/>
        <w:snapToGrid w:val="0"/>
        <w:spacing w:after="0" w:line="240" w:lineRule="auto"/>
        <w:jc w:val="both"/>
        <w:rPr>
          <w:rFonts w:eastAsiaTheme="minorEastAsia" w:cstheme="minorHAnsi"/>
          <w:b/>
          <w:bCs/>
        </w:rPr>
      </w:pPr>
    </w:p>
    <w:p w14:paraId="4582552D" w14:textId="42BECD68" w:rsidR="007A6594" w:rsidRDefault="007A6594" w:rsidP="00024F5D">
      <w:pPr>
        <w:adjustRightInd w:val="0"/>
        <w:snapToGrid w:val="0"/>
        <w:spacing w:after="0" w:line="240" w:lineRule="auto"/>
        <w:jc w:val="both"/>
        <w:rPr>
          <w:rFonts w:eastAsiaTheme="minorEastAsia" w:cstheme="minorHAnsi"/>
          <w:b/>
          <w:bCs/>
        </w:rPr>
      </w:pPr>
    </w:p>
    <w:p w14:paraId="7FAF7764" w14:textId="77777777" w:rsidR="006321BD" w:rsidRDefault="006321BD" w:rsidP="00024F5D">
      <w:pPr>
        <w:adjustRightInd w:val="0"/>
        <w:snapToGrid w:val="0"/>
        <w:spacing w:after="0" w:line="240" w:lineRule="auto"/>
        <w:jc w:val="both"/>
        <w:rPr>
          <w:rFonts w:eastAsiaTheme="minorEastAsia" w:cstheme="minorHAnsi"/>
          <w:b/>
          <w:bCs/>
        </w:rPr>
        <w:sectPr w:rsidR="006321BD" w:rsidSect="006321BD">
          <w:footerReference w:type="default" r:id="rId11"/>
          <w:pgSz w:w="12240" w:h="15840"/>
          <w:pgMar w:top="1440" w:right="1183" w:bottom="1440" w:left="1350" w:header="720" w:footer="720" w:gutter="0"/>
          <w:cols w:space="720"/>
          <w:docGrid w:linePitch="360"/>
        </w:sectPr>
      </w:pPr>
    </w:p>
    <w:p w14:paraId="5E79D6C9" w14:textId="6874675D" w:rsidR="00524376" w:rsidRPr="00916345" w:rsidRDefault="00524376" w:rsidP="00524376">
      <w:pPr>
        <w:shd w:val="clear" w:color="auto" w:fill="B4C6E7" w:themeFill="accent1" w:themeFillTint="66"/>
        <w:spacing w:after="0" w:line="240" w:lineRule="auto"/>
        <w:ind w:left="-180" w:hanging="180"/>
        <w:rPr>
          <w:rFonts w:eastAsiaTheme="minorEastAsia" w:cstheme="minorHAnsi"/>
          <w:b/>
          <w:bCs/>
        </w:rPr>
      </w:pPr>
      <w:r w:rsidRPr="00524376">
        <w:rPr>
          <w:rFonts w:ascii="Calibri" w:eastAsia="Times New Roman" w:hAnsi="Calibri" w:cs="Calibri"/>
          <w:b/>
          <w:bCs/>
          <w:color w:val="44546A"/>
          <w:sz w:val="28"/>
          <w:szCs w:val="28"/>
        </w:rPr>
        <w:lastRenderedPageBreak/>
        <w:t>Proposal</w:t>
      </w:r>
      <w:r>
        <w:rPr>
          <w:rFonts w:eastAsiaTheme="minorEastAsia" w:cstheme="minorHAnsi"/>
          <w:b/>
          <w:bCs/>
        </w:rPr>
        <w:t xml:space="preserve"> </w:t>
      </w:r>
      <w:r w:rsidR="0081372B">
        <w:rPr>
          <w:rFonts w:eastAsiaTheme="minorEastAsia" w:cstheme="minorHAnsi"/>
          <w:b/>
          <w:bCs/>
        </w:rPr>
        <w:t>(maximum 6 pages)</w:t>
      </w:r>
    </w:p>
    <w:p w14:paraId="01F8E847" w14:textId="77777777" w:rsidR="00524376" w:rsidRDefault="00524376" w:rsidP="00524376">
      <w:pPr>
        <w:shd w:val="clear" w:color="auto" w:fill="FFFFFF" w:themeFill="background1"/>
        <w:spacing w:after="0" w:line="240" w:lineRule="auto"/>
        <w:ind w:left="-180" w:hanging="180"/>
        <w:rPr>
          <w:rFonts w:ascii="Calibri" w:eastAsia="Times New Roman" w:hAnsi="Calibri" w:cs="Calibri"/>
          <w:b/>
          <w:bCs/>
          <w:color w:val="44546A"/>
          <w:sz w:val="28"/>
          <w:szCs w:val="28"/>
        </w:rPr>
      </w:pPr>
    </w:p>
    <w:p w14:paraId="5435810B" w14:textId="0B421A55" w:rsidR="00050DEB" w:rsidRPr="007A6594" w:rsidRDefault="00050DEB" w:rsidP="00DF4EAE">
      <w:pPr>
        <w:shd w:val="clear" w:color="auto" w:fill="D9E2F3" w:themeFill="accent1" w:themeFillTint="33"/>
        <w:spacing w:after="0" w:line="240" w:lineRule="auto"/>
        <w:ind w:left="-180" w:hanging="180"/>
        <w:rPr>
          <w:rFonts w:ascii="Calibri" w:eastAsia="Times New Roman" w:hAnsi="Calibri" w:cs="Calibri"/>
          <w:b/>
          <w:bCs/>
          <w:color w:val="44546A"/>
          <w:sz w:val="28"/>
          <w:szCs w:val="28"/>
        </w:rPr>
      </w:pPr>
      <w:r w:rsidRPr="007A6594">
        <w:rPr>
          <w:rFonts w:ascii="Calibri" w:eastAsia="Times New Roman" w:hAnsi="Calibri" w:cs="Calibri"/>
          <w:b/>
          <w:bCs/>
          <w:color w:val="44546A"/>
          <w:sz w:val="28"/>
          <w:szCs w:val="28"/>
        </w:rPr>
        <w:t>Substantive area</w:t>
      </w:r>
      <w:r w:rsidR="00524376">
        <w:rPr>
          <w:rFonts w:ascii="Calibri" w:eastAsia="Times New Roman" w:hAnsi="Calibri" w:cs="Calibri"/>
          <w:b/>
          <w:bCs/>
          <w:color w:val="44546A"/>
          <w:sz w:val="28"/>
          <w:szCs w:val="28"/>
        </w:rPr>
        <w:t>s</w:t>
      </w:r>
      <w:r w:rsidRPr="007A6594">
        <w:rPr>
          <w:rFonts w:ascii="Calibri" w:eastAsia="Times New Roman" w:hAnsi="Calibri" w:cs="Calibri"/>
          <w:b/>
          <w:bCs/>
          <w:color w:val="44546A"/>
          <w:sz w:val="28"/>
          <w:szCs w:val="28"/>
        </w:rPr>
        <w:t xml:space="preserve"> of </w:t>
      </w:r>
      <w:r w:rsidR="001E7FF5" w:rsidRPr="007A6594">
        <w:rPr>
          <w:rFonts w:ascii="Calibri" w:eastAsia="Times New Roman" w:hAnsi="Calibri" w:cs="Calibri"/>
          <w:b/>
          <w:bCs/>
          <w:color w:val="44546A"/>
          <w:sz w:val="28"/>
          <w:szCs w:val="28"/>
        </w:rPr>
        <w:t>Focus</w:t>
      </w:r>
      <w:r w:rsidRPr="007A6594">
        <w:rPr>
          <w:rFonts w:ascii="Calibri" w:eastAsia="Times New Roman" w:hAnsi="Calibri" w:cs="Calibri"/>
          <w:b/>
          <w:bCs/>
          <w:color w:val="44546A"/>
          <w:sz w:val="28"/>
          <w:szCs w:val="28"/>
        </w:rPr>
        <w:t xml:space="preserve">  </w:t>
      </w:r>
    </w:p>
    <w:p w14:paraId="56C5AE7C" w14:textId="7C14D97B" w:rsidR="00B249CA" w:rsidRDefault="00B249CA" w:rsidP="006321BD">
      <w:pPr>
        <w:ind w:left="-426"/>
        <w:jc w:val="both"/>
        <w:rPr>
          <w:rFonts w:ascii="Calibri" w:eastAsia="Times New Roman" w:hAnsi="Calibri" w:cs="Calibri"/>
          <w:color w:val="44546A"/>
          <w:sz w:val="24"/>
          <w:szCs w:val="24"/>
        </w:rPr>
      </w:pPr>
      <w:r>
        <w:rPr>
          <w:rFonts w:ascii="Calibri" w:eastAsia="Times New Roman" w:hAnsi="Calibri" w:cs="Calibri"/>
          <w:color w:val="44546A"/>
          <w:sz w:val="24"/>
          <w:szCs w:val="24"/>
        </w:rPr>
        <w:t xml:space="preserve">The proposal contributes to the SP </w:t>
      </w:r>
      <w:r w:rsidR="00995F01">
        <w:rPr>
          <w:rFonts w:ascii="Calibri" w:eastAsia="Times New Roman" w:hAnsi="Calibri" w:cs="Calibri"/>
          <w:color w:val="44546A"/>
          <w:sz w:val="24"/>
          <w:szCs w:val="24"/>
        </w:rPr>
        <w:t>2022-2025</w:t>
      </w:r>
      <w:r w:rsidR="00142166">
        <w:rPr>
          <w:rFonts w:ascii="Calibri" w:eastAsia="Times New Roman" w:hAnsi="Calibri" w:cs="Calibri"/>
          <w:color w:val="44546A"/>
          <w:sz w:val="24"/>
          <w:szCs w:val="24"/>
        </w:rPr>
        <w:t xml:space="preserve"> and the following </w:t>
      </w:r>
      <w:r w:rsidR="00817A9F">
        <w:rPr>
          <w:rFonts w:ascii="Calibri" w:eastAsia="Times New Roman" w:hAnsi="Calibri" w:cs="Calibri"/>
          <w:color w:val="44546A"/>
          <w:sz w:val="24"/>
          <w:szCs w:val="24"/>
        </w:rPr>
        <w:t xml:space="preserve">signature solutions, enables and direction of change </w:t>
      </w:r>
    </w:p>
    <w:tbl>
      <w:tblPr>
        <w:tblStyle w:val="TableGrid"/>
        <w:tblW w:w="0" w:type="auto"/>
        <w:tblInd w:w="-365" w:type="dxa"/>
        <w:tblLook w:val="04A0" w:firstRow="1" w:lastRow="0" w:firstColumn="1" w:lastColumn="0" w:noHBand="0" w:noVBand="1"/>
      </w:tblPr>
      <w:tblGrid>
        <w:gridCol w:w="2628"/>
        <w:gridCol w:w="7087"/>
      </w:tblGrid>
      <w:tr w:rsidR="001E7FF5" w14:paraId="7DFBD868" w14:textId="77777777" w:rsidTr="006967CE">
        <w:tc>
          <w:tcPr>
            <w:tcW w:w="2628" w:type="dxa"/>
          </w:tcPr>
          <w:p w14:paraId="5E1F5F8F" w14:textId="05585FE6" w:rsidR="001E7FF5" w:rsidRDefault="001E7FF5" w:rsidP="001E7FF5">
            <w:pPr>
              <w:jc w:val="both"/>
              <w:rPr>
                <w:rFonts w:ascii="Calibri" w:eastAsia="Times New Roman" w:hAnsi="Calibri" w:cs="Calibri"/>
                <w:color w:val="44546A"/>
                <w:sz w:val="24"/>
                <w:szCs w:val="24"/>
              </w:rPr>
            </w:pPr>
            <w:r>
              <w:rPr>
                <w:rFonts w:ascii="Calibri" w:eastAsia="Times New Roman" w:hAnsi="Calibri" w:cs="Calibri"/>
                <w:color w:val="44546A"/>
                <w:sz w:val="24"/>
                <w:szCs w:val="24"/>
              </w:rPr>
              <w:t>Signature Solution</w:t>
            </w:r>
          </w:p>
        </w:tc>
        <w:tc>
          <w:tcPr>
            <w:tcW w:w="7087" w:type="dxa"/>
          </w:tcPr>
          <w:p w14:paraId="74A1CB29" w14:textId="66EF48C3" w:rsidR="001E7FF5" w:rsidRPr="006A0DF8" w:rsidRDefault="006A0DF8" w:rsidP="009853EA">
            <w:pPr>
              <w:jc w:val="both"/>
              <w:rPr>
                <w:rFonts w:ascii="Calibri" w:eastAsia="Times New Roman" w:hAnsi="Calibri" w:cs="Calibri"/>
                <w:color w:val="44546A"/>
                <w:sz w:val="24"/>
                <w:szCs w:val="24"/>
              </w:rPr>
            </w:pPr>
            <w:r>
              <w:rPr>
                <w:rFonts w:ascii="Calibri" w:eastAsia="Times New Roman" w:hAnsi="Calibri" w:cs="Calibri"/>
                <w:color w:val="44546A"/>
                <w:sz w:val="24"/>
                <w:szCs w:val="24"/>
              </w:rPr>
              <w:t>P</w:t>
            </w:r>
            <w:r w:rsidR="00253D57" w:rsidRPr="006A0DF8">
              <w:rPr>
                <w:rFonts w:ascii="Calibri" w:eastAsia="Times New Roman" w:hAnsi="Calibri" w:cs="Calibri"/>
                <w:color w:val="44546A"/>
                <w:sz w:val="24"/>
                <w:szCs w:val="24"/>
              </w:rPr>
              <w:t xml:space="preserve">overty and inequality, </w:t>
            </w:r>
            <w:r>
              <w:rPr>
                <w:rFonts w:ascii="Calibri" w:eastAsia="Times New Roman" w:hAnsi="Calibri" w:cs="Calibri"/>
                <w:color w:val="44546A"/>
                <w:sz w:val="24"/>
                <w:szCs w:val="24"/>
              </w:rPr>
              <w:t>G</w:t>
            </w:r>
            <w:r w:rsidR="00253D57" w:rsidRPr="006A0DF8">
              <w:rPr>
                <w:rFonts w:ascii="Calibri" w:eastAsia="Times New Roman" w:hAnsi="Calibri" w:cs="Calibri"/>
                <w:color w:val="44546A"/>
                <w:sz w:val="24"/>
                <w:szCs w:val="24"/>
              </w:rPr>
              <w:t>overnance</w:t>
            </w:r>
            <w:r w:rsidR="007A03CB" w:rsidRPr="006A0DF8">
              <w:rPr>
                <w:rFonts w:ascii="Calibri" w:eastAsia="Times New Roman" w:hAnsi="Calibri" w:cs="Calibri"/>
                <w:color w:val="44546A"/>
                <w:sz w:val="24"/>
                <w:szCs w:val="24"/>
              </w:rPr>
              <w:t xml:space="preserve">, </w:t>
            </w:r>
            <w:r>
              <w:rPr>
                <w:rFonts w:ascii="Calibri" w:eastAsia="Times New Roman" w:hAnsi="Calibri" w:cs="Calibri"/>
                <w:color w:val="44546A"/>
                <w:sz w:val="24"/>
                <w:szCs w:val="24"/>
              </w:rPr>
              <w:t>R</w:t>
            </w:r>
            <w:r w:rsidR="007A03CB" w:rsidRPr="006A0DF8">
              <w:rPr>
                <w:rFonts w:ascii="Calibri" w:eastAsia="Times New Roman" w:hAnsi="Calibri" w:cs="Calibri"/>
                <w:color w:val="44546A"/>
                <w:sz w:val="24"/>
                <w:szCs w:val="24"/>
              </w:rPr>
              <w:t>esilience</w:t>
            </w:r>
          </w:p>
        </w:tc>
      </w:tr>
      <w:tr w:rsidR="001E7FF5" w14:paraId="2EAFA238" w14:textId="77777777" w:rsidTr="006967CE">
        <w:tc>
          <w:tcPr>
            <w:tcW w:w="2628" w:type="dxa"/>
          </w:tcPr>
          <w:p w14:paraId="41A9F901" w14:textId="72A0D065" w:rsidR="001E7FF5" w:rsidRDefault="001E7FF5" w:rsidP="009853EA">
            <w:pPr>
              <w:jc w:val="both"/>
              <w:rPr>
                <w:rFonts w:ascii="Calibri" w:eastAsia="Times New Roman" w:hAnsi="Calibri" w:cs="Calibri"/>
                <w:color w:val="44546A"/>
                <w:sz w:val="24"/>
                <w:szCs w:val="24"/>
              </w:rPr>
            </w:pPr>
            <w:r>
              <w:rPr>
                <w:rFonts w:ascii="Calibri" w:eastAsia="Times New Roman" w:hAnsi="Calibri" w:cs="Calibri"/>
                <w:color w:val="44546A"/>
                <w:sz w:val="24"/>
                <w:szCs w:val="24"/>
              </w:rPr>
              <w:t>Enabler</w:t>
            </w:r>
          </w:p>
        </w:tc>
        <w:tc>
          <w:tcPr>
            <w:tcW w:w="7087" w:type="dxa"/>
          </w:tcPr>
          <w:p w14:paraId="30C27282" w14:textId="7A6944FC" w:rsidR="001E7FF5" w:rsidRDefault="006A0DF8" w:rsidP="009853EA">
            <w:pPr>
              <w:jc w:val="both"/>
              <w:rPr>
                <w:rFonts w:ascii="Calibri" w:eastAsia="Times New Roman" w:hAnsi="Calibri" w:cs="Calibri"/>
                <w:color w:val="44546A"/>
                <w:sz w:val="24"/>
                <w:szCs w:val="24"/>
              </w:rPr>
            </w:pPr>
            <w:r>
              <w:rPr>
                <w:rFonts w:ascii="Calibri" w:eastAsia="Times New Roman" w:hAnsi="Calibri" w:cs="Calibri"/>
                <w:color w:val="44546A"/>
                <w:sz w:val="24"/>
                <w:szCs w:val="24"/>
              </w:rPr>
              <w:t>S</w:t>
            </w:r>
            <w:r w:rsidR="00A95520" w:rsidRPr="00A95520">
              <w:rPr>
                <w:rFonts w:ascii="Calibri" w:eastAsia="Times New Roman" w:hAnsi="Calibri" w:cs="Calibri"/>
                <w:color w:val="44546A"/>
                <w:sz w:val="24"/>
                <w:szCs w:val="24"/>
              </w:rPr>
              <w:t xml:space="preserve">trategic </w:t>
            </w:r>
            <w:r w:rsidR="002E481B">
              <w:rPr>
                <w:rFonts w:ascii="Calibri" w:eastAsia="Times New Roman" w:hAnsi="Calibri" w:cs="Calibri"/>
                <w:color w:val="44546A"/>
                <w:sz w:val="24"/>
                <w:szCs w:val="24"/>
              </w:rPr>
              <w:t>I</w:t>
            </w:r>
            <w:r w:rsidR="00A95520" w:rsidRPr="00A95520">
              <w:rPr>
                <w:rFonts w:ascii="Calibri" w:eastAsia="Times New Roman" w:hAnsi="Calibri" w:cs="Calibri"/>
                <w:color w:val="44546A"/>
                <w:sz w:val="24"/>
                <w:szCs w:val="24"/>
              </w:rPr>
              <w:t>nnovation</w:t>
            </w:r>
            <w:r w:rsidR="00A95520">
              <w:rPr>
                <w:rFonts w:ascii="Calibri" w:eastAsia="Times New Roman" w:hAnsi="Calibri" w:cs="Calibri"/>
                <w:color w:val="44546A"/>
                <w:sz w:val="24"/>
                <w:szCs w:val="24"/>
              </w:rPr>
              <w:t xml:space="preserve">, </w:t>
            </w:r>
            <w:r w:rsidR="002E481B">
              <w:rPr>
                <w:rFonts w:ascii="Calibri" w:eastAsia="Times New Roman" w:hAnsi="Calibri" w:cs="Calibri"/>
                <w:color w:val="44546A"/>
                <w:sz w:val="24"/>
                <w:szCs w:val="24"/>
              </w:rPr>
              <w:t xml:space="preserve">Digitalization, </w:t>
            </w:r>
            <w:r>
              <w:rPr>
                <w:rFonts w:ascii="Calibri" w:eastAsia="Times New Roman" w:hAnsi="Calibri" w:cs="Calibri"/>
                <w:color w:val="44546A"/>
                <w:sz w:val="24"/>
                <w:szCs w:val="24"/>
              </w:rPr>
              <w:t>D</w:t>
            </w:r>
            <w:r w:rsidR="00A95520">
              <w:rPr>
                <w:rFonts w:ascii="Calibri" w:eastAsia="Times New Roman" w:hAnsi="Calibri" w:cs="Calibri"/>
                <w:color w:val="44546A"/>
                <w:sz w:val="24"/>
                <w:szCs w:val="24"/>
              </w:rPr>
              <w:t>evelopment financing</w:t>
            </w:r>
          </w:p>
        </w:tc>
      </w:tr>
      <w:tr w:rsidR="001E7FF5" w14:paraId="5E1FA0DE" w14:textId="77777777" w:rsidTr="006967CE">
        <w:tc>
          <w:tcPr>
            <w:tcW w:w="2628" w:type="dxa"/>
          </w:tcPr>
          <w:p w14:paraId="22EF12A4" w14:textId="020E2F1A" w:rsidR="001E7FF5" w:rsidRDefault="001E7FF5" w:rsidP="009853EA">
            <w:pPr>
              <w:jc w:val="both"/>
              <w:rPr>
                <w:rFonts w:ascii="Calibri" w:eastAsia="Times New Roman" w:hAnsi="Calibri" w:cs="Calibri"/>
                <w:color w:val="44546A"/>
                <w:sz w:val="24"/>
                <w:szCs w:val="24"/>
              </w:rPr>
            </w:pPr>
            <w:r>
              <w:rPr>
                <w:rFonts w:ascii="Calibri" w:eastAsia="Times New Roman" w:hAnsi="Calibri" w:cs="Calibri"/>
                <w:color w:val="44546A"/>
                <w:sz w:val="24"/>
                <w:szCs w:val="24"/>
              </w:rPr>
              <w:t>Direction of Change</w:t>
            </w:r>
          </w:p>
        </w:tc>
        <w:tc>
          <w:tcPr>
            <w:tcW w:w="7087" w:type="dxa"/>
          </w:tcPr>
          <w:p w14:paraId="48AADE51" w14:textId="2FF7062E" w:rsidR="001E7FF5" w:rsidRDefault="006A0DF8" w:rsidP="009853EA">
            <w:pPr>
              <w:jc w:val="both"/>
              <w:rPr>
                <w:rFonts w:ascii="Calibri" w:eastAsia="Times New Roman" w:hAnsi="Calibri" w:cs="Calibri"/>
                <w:color w:val="44546A"/>
                <w:sz w:val="24"/>
                <w:szCs w:val="24"/>
              </w:rPr>
            </w:pPr>
            <w:r>
              <w:rPr>
                <w:rFonts w:ascii="Calibri" w:eastAsia="Times New Roman" w:hAnsi="Calibri" w:cs="Calibri"/>
                <w:color w:val="44546A"/>
                <w:sz w:val="24"/>
                <w:szCs w:val="24"/>
              </w:rPr>
              <w:t>S</w:t>
            </w:r>
            <w:r w:rsidR="008D449B" w:rsidRPr="008D449B">
              <w:rPr>
                <w:rFonts w:ascii="Calibri" w:eastAsia="Times New Roman" w:hAnsi="Calibri" w:cs="Calibri"/>
                <w:color w:val="44546A"/>
                <w:sz w:val="24"/>
                <w:szCs w:val="24"/>
              </w:rPr>
              <w:t xml:space="preserve">tructural transformation, </w:t>
            </w:r>
            <w:proofErr w:type="gramStart"/>
            <w:r>
              <w:rPr>
                <w:rFonts w:ascii="Calibri" w:eastAsia="Times New Roman" w:hAnsi="Calibri" w:cs="Calibri"/>
                <w:color w:val="44546A"/>
                <w:sz w:val="24"/>
                <w:szCs w:val="24"/>
              </w:rPr>
              <w:t>L</w:t>
            </w:r>
            <w:r w:rsidR="008D449B" w:rsidRPr="008D449B">
              <w:rPr>
                <w:rFonts w:ascii="Calibri" w:eastAsia="Times New Roman" w:hAnsi="Calibri" w:cs="Calibri"/>
                <w:color w:val="44546A"/>
                <w:sz w:val="24"/>
                <w:szCs w:val="24"/>
              </w:rPr>
              <w:t>eaving</w:t>
            </w:r>
            <w:proofErr w:type="gramEnd"/>
            <w:r w:rsidR="008D449B" w:rsidRPr="008D449B">
              <w:rPr>
                <w:rFonts w:ascii="Calibri" w:eastAsia="Times New Roman" w:hAnsi="Calibri" w:cs="Calibri"/>
                <w:color w:val="44546A"/>
                <w:sz w:val="24"/>
                <w:szCs w:val="24"/>
              </w:rPr>
              <w:t xml:space="preserve"> no-one behind</w:t>
            </w:r>
            <w:r w:rsidR="008E3440">
              <w:rPr>
                <w:rFonts w:ascii="Calibri" w:eastAsia="Times New Roman" w:hAnsi="Calibri" w:cs="Calibri"/>
                <w:color w:val="44546A"/>
                <w:sz w:val="24"/>
                <w:szCs w:val="24"/>
              </w:rPr>
              <w:t xml:space="preserve">, </w:t>
            </w:r>
            <w:r>
              <w:rPr>
                <w:rFonts w:ascii="Calibri" w:eastAsia="Times New Roman" w:hAnsi="Calibri" w:cs="Calibri"/>
                <w:color w:val="44546A"/>
                <w:sz w:val="24"/>
                <w:szCs w:val="24"/>
              </w:rPr>
              <w:t>B</w:t>
            </w:r>
            <w:r w:rsidR="008E3440" w:rsidRPr="008E3440">
              <w:rPr>
                <w:rFonts w:ascii="Calibri" w:eastAsia="Times New Roman" w:hAnsi="Calibri" w:cs="Calibri"/>
                <w:color w:val="44546A"/>
                <w:sz w:val="24"/>
                <w:szCs w:val="24"/>
              </w:rPr>
              <w:t>uilding resilience</w:t>
            </w:r>
          </w:p>
        </w:tc>
      </w:tr>
    </w:tbl>
    <w:p w14:paraId="7A751E9C" w14:textId="77777777" w:rsidR="003C7727" w:rsidRPr="00C80483" w:rsidRDefault="003C7727" w:rsidP="009853EA">
      <w:pPr>
        <w:jc w:val="both"/>
        <w:rPr>
          <w:rFonts w:ascii="Calibri" w:eastAsia="Times New Roman" w:hAnsi="Calibri" w:cs="Calibri"/>
          <w:color w:val="44546A"/>
          <w:sz w:val="24"/>
          <w:szCs w:val="24"/>
        </w:rPr>
      </w:pPr>
    </w:p>
    <w:p w14:paraId="611D1FDF" w14:textId="375987F7" w:rsidR="00E50B65" w:rsidRDefault="00222530" w:rsidP="00E50B65">
      <w:pPr>
        <w:shd w:val="clear" w:color="auto" w:fill="D9E2F3" w:themeFill="accent1" w:themeFillTint="33"/>
        <w:spacing w:after="0" w:line="240" w:lineRule="auto"/>
        <w:ind w:left="-180" w:hanging="180"/>
        <w:rPr>
          <w:rFonts w:ascii="Calibri" w:eastAsia="Times New Roman" w:hAnsi="Calibri" w:cs="Calibri"/>
          <w:b/>
          <w:bCs/>
          <w:color w:val="44546A"/>
          <w:sz w:val="28"/>
          <w:szCs w:val="28"/>
        </w:rPr>
      </w:pPr>
      <w:r w:rsidRPr="00524376">
        <w:rPr>
          <w:rFonts w:ascii="Calibri" w:eastAsia="Times New Roman" w:hAnsi="Calibri" w:cs="Calibri"/>
          <w:b/>
          <w:bCs/>
          <w:color w:val="44546A"/>
          <w:sz w:val="28"/>
          <w:szCs w:val="28"/>
        </w:rPr>
        <w:t xml:space="preserve">Proposal details (maximum </w:t>
      </w:r>
      <w:r w:rsidR="00DF4EAE">
        <w:rPr>
          <w:rFonts w:ascii="Calibri" w:eastAsia="Times New Roman" w:hAnsi="Calibri" w:cs="Calibri"/>
          <w:b/>
          <w:bCs/>
          <w:color w:val="44546A"/>
          <w:sz w:val="28"/>
          <w:szCs w:val="28"/>
        </w:rPr>
        <w:t>two</w:t>
      </w:r>
      <w:r w:rsidRPr="00524376">
        <w:rPr>
          <w:rFonts w:ascii="Calibri" w:eastAsia="Times New Roman" w:hAnsi="Calibri" w:cs="Calibri"/>
          <w:b/>
          <w:bCs/>
          <w:color w:val="44546A"/>
          <w:sz w:val="28"/>
          <w:szCs w:val="28"/>
        </w:rPr>
        <w:t xml:space="preserve"> pages) </w:t>
      </w:r>
    </w:p>
    <w:p w14:paraId="00C1E248" w14:textId="77777777" w:rsidR="00E50B65" w:rsidRPr="00524376" w:rsidRDefault="00E50B65" w:rsidP="00E50B65">
      <w:pPr>
        <w:shd w:val="clear" w:color="auto" w:fill="FFFFFF" w:themeFill="background1"/>
        <w:spacing w:after="0" w:line="240" w:lineRule="auto"/>
        <w:ind w:left="-180" w:hanging="180"/>
        <w:rPr>
          <w:rFonts w:ascii="Calibri" w:eastAsia="Times New Roman" w:hAnsi="Calibri" w:cs="Calibri"/>
          <w:b/>
          <w:bCs/>
          <w:color w:val="44546A"/>
          <w:sz w:val="28"/>
          <w:szCs w:val="28"/>
        </w:rPr>
      </w:pPr>
    </w:p>
    <w:tbl>
      <w:tblPr>
        <w:tblStyle w:val="TableGrid"/>
        <w:tblW w:w="0" w:type="auto"/>
        <w:tblInd w:w="-365" w:type="dxa"/>
        <w:tblLook w:val="04A0" w:firstRow="1" w:lastRow="0" w:firstColumn="1" w:lastColumn="0" w:noHBand="0" w:noVBand="1"/>
      </w:tblPr>
      <w:tblGrid>
        <w:gridCol w:w="3621"/>
        <w:gridCol w:w="6274"/>
      </w:tblGrid>
      <w:tr w:rsidR="00E50B65" w14:paraId="41D258CB" w14:textId="77777777" w:rsidTr="006967CE">
        <w:tc>
          <w:tcPr>
            <w:tcW w:w="3621" w:type="dxa"/>
          </w:tcPr>
          <w:p w14:paraId="6D087DA8" w14:textId="184C0209" w:rsidR="00E50B65" w:rsidRDefault="00E50B65" w:rsidP="009853EA">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Country office</w:t>
            </w:r>
          </w:p>
        </w:tc>
        <w:tc>
          <w:tcPr>
            <w:tcW w:w="6274" w:type="dxa"/>
          </w:tcPr>
          <w:p w14:paraId="79C97D21" w14:textId="3568E1C8" w:rsidR="00E50B65" w:rsidRDefault="00A95520" w:rsidP="009853EA">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UNDP Djibouti</w:t>
            </w:r>
          </w:p>
        </w:tc>
      </w:tr>
      <w:tr w:rsidR="00E50B65" w14:paraId="70A6AEF5" w14:textId="77777777" w:rsidTr="006967CE">
        <w:tc>
          <w:tcPr>
            <w:tcW w:w="3621" w:type="dxa"/>
          </w:tcPr>
          <w:p w14:paraId="3DA53CB0" w14:textId="3A1FE73A" w:rsidR="00E50B65" w:rsidRDefault="00E50B65" w:rsidP="00E50B65">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Requester</w:t>
            </w:r>
          </w:p>
        </w:tc>
        <w:tc>
          <w:tcPr>
            <w:tcW w:w="6274" w:type="dxa"/>
          </w:tcPr>
          <w:p w14:paraId="0715F6B8" w14:textId="67EE85DF" w:rsidR="00E50B65" w:rsidRDefault="00A95520" w:rsidP="009853EA">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 xml:space="preserve">Emma </w:t>
            </w:r>
            <w:proofErr w:type="spellStart"/>
            <w:r>
              <w:rPr>
                <w:rFonts w:ascii="Calibri" w:eastAsia="Times New Roman" w:hAnsi="Calibri" w:cs="Calibri"/>
                <w:color w:val="44546A"/>
                <w:sz w:val="24"/>
                <w:szCs w:val="24"/>
              </w:rPr>
              <w:t>Ngouan</w:t>
            </w:r>
            <w:proofErr w:type="spellEnd"/>
            <w:r>
              <w:rPr>
                <w:rFonts w:ascii="Calibri" w:eastAsia="Times New Roman" w:hAnsi="Calibri" w:cs="Calibri"/>
                <w:color w:val="44546A"/>
                <w:sz w:val="24"/>
                <w:szCs w:val="24"/>
              </w:rPr>
              <w:t xml:space="preserve"> </w:t>
            </w:r>
            <w:proofErr w:type="spellStart"/>
            <w:r>
              <w:rPr>
                <w:rFonts w:ascii="Calibri" w:eastAsia="Times New Roman" w:hAnsi="Calibri" w:cs="Calibri"/>
                <w:color w:val="44546A"/>
                <w:sz w:val="24"/>
                <w:szCs w:val="24"/>
              </w:rPr>
              <w:t>Anoh</w:t>
            </w:r>
            <w:proofErr w:type="spellEnd"/>
          </w:p>
        </w:tc>
      </w:tr>
      <w:tr w:rsidR="00E50B65" w14:paraId="55B8FDFE" w14:textId="77777777" w:rsidTr="006967CE">
        <w:tc>
          <w:tcPr>
            <w:tcW w:w="3621" w:type="dxa"/>
          </w:tcPr>
          <w:p w14:paraId="4592DD19" w14:textId="1A49696E" w:rsidR="00E50B65" w:rsidRDefault="00E50B65" w:rsidP="009853EA">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Project Title</w:t>
            </w:r>
            <w:r w:rsidR="00215FB4">
              <w:rPr>
                <w:rFonts w:ascii="Calibri" w:eastAsia="Times New Roman" w:hAnsi="Calibri" w:cs="Calibri"/>
                <w:color w:val="44546A"/>
                <w:sz w:val="24"/>
                <w:szCs w:val="24"/>
              </w:rPr>
              <w:t xml:space="preserve"> (Max 7 words)</w:t>
            </w:r>
          </w:p>
        </w:tc>
        <w:tc>
          <w:tcPr>
            <w:tcW w:w="6274" w:type="dxa"/>
            <w:shd w:val="clear" w:color="auto" w:fill="F4B083" w:themeFill="accent2" w:themeFillTint="99"/>
          </w:tcPr>
          <w:p w14:paraId="2E38D7BB" w14:textId="1E623346" w:rsidR="00E50B65" w:rsidRDefault="002E481B" w:rsidP="009853EA">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 xml:space="preserve">SDG Localization for Inclusive and Resilient Governance (SLIRG) </w:t>
            </w:r>
          </w:p>
        </w:tc>
      </w:tr>
      <w:tr w:rsidR="00E50B65" w14:paraId="0DB84A31" w14:textId="77777777" w:rsidTr="006967CE">
        <w:tc>
          <w:tcPr>
            <w:tcW w:w="3621" w:type="dxa"/>
          </w:tcPr>
          <w:p w14:paraId="34F4EA0B" w14:textId="25A12B03" w:rsidR="00E50B65" w:rsidRDefault="00215FB4" w:rsidP="009853EA">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Requested Amount</w:t>
            </w:r>
          </w:p>
        </w:tc>
        <w:tc>
          <w:tcPr>
            <w:tcW w:w="6274" w:type="dxa"/>
          </w:tcPr>
          <w:p w14:paraId="32C369A2" w14:textId="457851FF" w:rsidR="00E50B65" w:rsidRDefault="004C78FD" w:rsidP="009853EA">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200 000 USD</w:t>
            </w:r>
          </w:p>
        </w:tc>
      </w:tr>
      <w:tr w:rsidR="00E50B65" w14:paraId="13FEAC4D" w14:textId="77777777" w:rsidTr="006967CE">
        <w:tc>
          <w:tcPr>
            <w:tcW w:w="3621" w:type="dxa"/>
          </w:tcPr>
          <w:p w14:paraId="7202E136" w14:textId="1A0FD627" w:rsidR="00E50B65" w:rsidRDefault="00215FB4" w:rsidP="009853EA">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Gender Marker</w:t>
            </w:r>
          </w:p>
        </w:tc>
        <w:tc>
          <w:tcPr>
            <w:tcW w:w="6274" w:type="dxa"/>
          </w:tcPr>
          <w:p w14:paraId="7386C349" w14:textId="59F0277F" w:rsidR="00E50B65" w:rsidRDefault="004C78FD" w:rsidP="009853EA">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GEN2</w:t>
            </w:r>
          </w:p>
        </w:tc>
      </w:tr>
      <w:tr w:rsidR="00E50B65" w14:paraId="46D669E4" w14:textId="77777777" w:rsidTr="006967CE">
        <w:tc>
          <w:tcPr>
            <w:tcW w:w="3621" w:type="dxa"/>
          </w:tcPr>
          <w:p w14:paraId="2C24C54A" w14:textId="6976B0B6" w:rsidR="00E50B65" w:rsidRDefault="00215FB4" w:rsidP="009853EA">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Date of Submission</w:t>
            </w:r>
          </w:p>
        </w:tc>
        <w:tc>
          <w:tcPr>
            <w:tcW w:w="6274" w:type="dxa"/>
            <w:shd w:val="clear" w:color="auto" w:fill="F4B083" w:themeFill="accent2" w:themeFillTint="99"/>
          </w:tcPr>
          <w:p w14:paraId="19B16E05" w14:textId="403C897C" w:rsidR="00E50B65" w:rsidRDefault="00FA1615" w:rsidP="009853EA">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Apr 12</w:t>
            </w:r>
            <w:r w:rsidR="002E481B">
              <w:rPr>
                <w:rFonts w:ascii="Calibri" w:eastAsia="Times New Roman" w:hAnsi="Calibri" w:cs="Calibri"/>
                <w:color w:val="44546A"/>
                <w:sz w:val="24"/>
                <w:szCs w:val="24"/>
              </w:rPr>
              <w:t>, 2022</w:t>
            </w:r>
          </w:p>
        </w:tc>
      </w:tr>
      <w:tr w:rsidR="00E50B65" w14:paraId="21D363B0" w14:textId="77777777" w:rsidTr="006967CE">
        <w:tc>
          <w:tcPr>
            <w:tcW w:w="3621" w:type="dxa"/>
          </w:tcPr>
          <w:p w14:paraId="2AA932E3" w14:textId="67437BAC" w:rsidR="00E50B65" w:rsidRDefault="00215FB4" w:rsidP="009853EA">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Proposed implementation period</w:t>
            </w:r>
          </w:p>
        </w:tc>
        <w:tc>
          <w:tcPr>
            <w:tcW w:w="6274" w:type="dxa"/>
          </w:tcPr>
          <w:p w14:paraId="3811E6E3" w14:textId="32BA53CB" w:rsidR="00E50B65" w:rsidRDefault="002E481B" w:rsidP="009853EA">
            <w:pPr>
              <w:pStyle w:val="ListParagraph"/>
              <w:ind w:left="0"/>
              <w:jc w:val="both"/>
              <w:rPr>
                <w:rFonts w:ascii="Calibri" w:eastAsia="Times New Roman" w:hAnsi="Calibri" w:cs="Calibri"/>
                <w:color w:val="44546A"/>
                <w:sz w:val="24"/>
                <w:szCs w:val="24"/>
              </w:rPr>
            </w:pPr>
            <w:r>
              <w:rPr>
                <w:rFonts w:ascii="Calibri" w:eastAsia="Times New Roman" w:hAnsi="Calibri" w:cs="Calibri"/>
                <w:color w:val="44546A"/>
                <w:sz w:val="24"/>
                <w:szCs w:val="24"/>
              </w:rPr>
              <w:t>June 1, 2022 -</w:t>
            </w:r>
            <w:r w:rsidR="009F1FAC">
              <w:rPr>
                <w:rFonts w:ascii="Calibri" w:eastAsia="Times New Roman" w:hAnsi="Calibri" w:cs="Calibri"/>
                <w:color w:val="44546A"/>
                <w:sz w:val="24"/>
                <w:szCs w:val="24"/>
              </w:rPr>
              <w:t xml:space="preserve"> </w:t>
            </w:r>
            <w:r>
              <w:rPr>
                <w:rFonts w:ascii="Calibri" w:eastAsia="Times New Roman" w:hAnsi="Calibri" w:cs="Calibri"/>
                <w:color w:val="44546A"/>
                <w:sz w:val="24"/>
                <w:szCs w:val="24"/>
              </w:rPr>
              <w:t>Decem</w:t>
            </w:r>
            <w:r w:rsidR="001353FF">
              <w:rPr>
                <w:rFonts w:ascii="Calibri" w:eastAsia="Times New Roman" w:hAnsi="Calibri" w:cs="Calibri"/>
                <w:color w:val="44546A"/>
                <w:sz w:val="24"/>
                <w:szCs w:val="24"/>
              </w:rPr>
              <w:t>ber 2023</w:t>
            </w:r>
          </w:p>
        </w:tc>
      </w:tr>
    </w:tbl>
    <w:p w14:paraId="45572746" w14:textId="484C0E26" w:rsidR="001353FF" w:rsidRDefault="001353FF" w:rsidP="00340EEF">
      <w:pPr>
        <w:spacing w:after="0" w:line="240" w:lineRule="auto"/>
        <w:rPr>
          <w:rFonts w:ascii="Calibri" w:eastAsia="Times New Roman" w:hAnsi="Calibri" w:cs="Calibri"/>
          <w:b/>
          <w:bCs/>
          <w:color w:val="44546A"/>
          <w:sz w:val="28"/>
          <w:szCs w:val="28"/>
        </w:rPr>
      </w:pPr>
    </w:p>
    <w:p w14:paraId="794CF64F" w14:textId="77777777" w:rsidR="009935E2" w:rsidRDefault="009935E2" w:rsidP="00340EEF">
      <w:pPr>
        <w:spacing w:after="0" w:line="240" w:lineRule="auto"/>
        <w:rPr>
          <w:rFonts w:ascii="Calibri" w:eastAsia="Times New Roman" w:hAnsi="Calibri" w:cs="Calibri"/>
          <w:b/>
          <w:bCs/>
          <w:color w:val="44546A"/>
          <w:sz w:val="28"/>
          <w:szCs w:val="28"/>
        </w:rPr>
        <w:sectPr w:rsidR="009935E2" w:rsidSect="006321BD">
          <w:footerReference w:type="default" r:id="rId12"/>
          <w:pgSz w:w="12240" w:h="15840"/>
          <w:pgMar w:top="1440" w:right="1183" w:bottom="1440" w:left="1350" w:header="720" w:footer="720" w:gutter="0"/>
          <w:pgNumType w:start="1"/>
          <w:cols w:space="720"/>
          <w:docGrid w:linePitch="360"/>
        </w:sectPr>
      </w:pPr>
    </w:p>
    <w:p w14:paraId="34231D28" w14:textId="77777777" w:rsidR="00E5660B" w:rsidRDefault="003944BF" w:rsidP="00E5660B">
      <w:pPr>
        <w:shd w:val="clear" w:color="auto" w:fill="D9E2F3" w:themeFill="accent1" w:themeFillTint="33"/>
        <w:spacing w:after="0" w:line="240" w:lineRule="auto"/>
        <w:ind w:left="-180" w:hanging="180"/>
        <w:rPr>
          <w:rFonts w:ascii="Calibri" w:eastAsia="Times New Roman" w:hAnsi="Calibri" w:cs="Calibri"/>
          <w:b/>
          <w:bCs/>
          <w:color w:val="44546A"/>
          <w:sz w:val="28"/>
          <w:szCs w:val="28"/>
        </w:rPr>
      </w:pPr>
      <w:r>
        <w:rPr>
          <w:rFonts w:ascii="Calibri" w:eastAsia="Times New Roman" w:hAnsi="Calibri" w:cs="Calibri"/>
          <w:b/>
          <w:bCs/>
          <w:color w:val="44546A"/>
          <w:sz w:val="28"/>
          <w:szCs w:val="28"/>
        </w:rPr>
        <w:lastRenderedPageBreak/>
        <w:t xml:space="preserve">Background </w:t>
      </w:r>
      <w:r w:rsidR="006E0ADA">
        <w:rPr>
          <w:rFonts w:ascii="Calibri" w:eastAsia="Times New Roman" w:hAnsi="Calibri" w:cs="Calibri"/>
          <w:b/>
          <w:bCs/>
          <w:color w:val="44546A"/>
          <w:sz w:val="28"/>
          <w:szCs w:val="28"/>
        </w:rPr>
        <w:t xml:space="preserve">– </w:t>
      </w:r>
      <w:r w:rsidR="009F51CA">
        <w:rPr>
          <w:rFonts w:ascii="Calibri" w:eastAsia="Times New Roman" w:hAnsi="Calibri" w:cs="Calibri"/>
          <w:b/>
          <w:bCs/>
          <w:color w:val="44546A"/>
          <w:sz w:val="28"/>
          <w:szCs w:val="28"/>
        </w:rPr>
        <w:t xml:space="preserve">Strategic </w:t>
      </w:r>
      <w:r w:rsidR="008B65FE">
        <w:rPr>
          <w:rFonts w:ascii="Calibri" w:eastAsia="Times New Roman" w:hAnsi="Calibri" w:cs="Calibri"/>
          <w:b/>
          <w:bCs/>
          <w:color w:val="44546A"/>
          <w:sz w:val="28"/>
          <w:szCs w:val="28"/>
        </w:rPr>
        <w:t>Objectives</w:t>
      </w:r>
      <w:r w:rsidR="006E0ADA">
        <w:rPr>
          <w:rFonts w:ascii="Calibri" w:eastAsia="Times New Roman" w:hAnsi="Calibri" w:cs="Calibri"/>
          <w:b/>
          <w:bCs/>
          <w:color w:val="44546A"/>
          <w:sz w:val="28"/>
          <w:szCs w:val="28"/>
        </w:rPr>
        <w:t xml:space="preserve"> – </w:t>
      </w:r>
      <w:r w:rsidR="003F03CF" w:rsidRPr="00174A9A">
        <w:rPr>
          <w:rFonts w:ascii="Calibri" w:eastAsia="Times New Roman" w:hAnsi="Calibri" w:cs="Calibri"/>
          <w:b/>
          <w:bCs/>
          <w:color w:val="44546A"/>
          <w:sz w:val="28"/>
          <w:szCs w:val="28"/>
        </w:rPr>
        <w:t xml:space="preserve">Theory of Change </w:t>
      </w:r>
      <w:r w:rsidR="00CD106D" w:rsidRPr="00174A9A">
        <w:rPr>
          <w:rFonts w:ascii="Calibri" w:eastAsia="Times New Roman" w:hAnsi="Calibri" w:cs="Calibri"/>
          <w:b/>
          <w:bCs/>
          <w:color w:val="44546A"/>
          <w:sz w:val="28"/>
          <w:szCs w:val="28"/>
        </w:rPr>
        <w:t xml:space="preserve">statement </w:t>
      </w:r>
    </w:p>
    <w:p w14:paraId="3CCA6200" w14:textId="77777777" w:rsidR="00E5660B" w:rsidRDefault="00E5660B" w:rsidP="00E5660B">
      <w:pPr>
        <w:spacing w:after="0" w:line="240" w:lineRule="auto"/>
        <w:ind w:left="-180" w:hanging="180"/>
        <w:rPr>
          <w:rFonts w:ascii="Calibri" w:eastAsia="Times New Roman" w:hAnsi="Calibri" w:cs="Calibri"/>
          <w:b/>
          <w:bCs/>
          <w:color w:val="44546A"/>
          <w:sz w:val="28"/>
          <w:szCs w:val="28"/>
        </w:rPr>
      </w:pPr>
    </w:p>
    <w:p w14:paraId="06A672BE" w14:textId="77777777" w:rsidR="00E5660B" w:rsidRDefault="00CF24EB" w:rsidP="002E481B">
      <w:pPr>
        <w:spacing w:after="0" w:line="240" w:lineRule="auto"/>
        <w:ind w:left="-180" w:hanging="104"/>
        <w:rPr>
          <w:rFonts w:ascii="Calibri" w:eastAsia="Times New Roman" w:hAnsi="Calibri" w:cs="Calibri"/>
          <w:b/>
          <w:bCs/>
          <w:color w:val="44546A"/>
          <w:sz w:val="28"/>
          <w:szCs w:val="28"/>
          <w:u w:val="single"/>
        </w:rPr>
      </w:pPr>
      <w:r w:rsidRPr="00E5660B">
        <w:rPr>
          <w:rFonts w:ascii="Calibri" w:eastAsia="Times New Roman" w:hAnsi="Calibri" w:cs="Calibri"/>
          <w:b/>
          <w:bCs/>
          <w:color w:val="44546A"/>
          <w:u w:val="single"/>
        </w:rPr>
        <w:t xml:space="preserve">Background: </w:t>
      </w:r>
    </w:p>
    <w:p w14:paraId="31123750" w14:textId="60BB01E7" w:rsidR="00075919" w:rsidRDefault="002E481B" w:rsidP="00075919">
      <w:pPr>
        <w:ind w:left="-284"/>
        <w:jc w:val="both"/>
        <w:rPr>
          <w:rFonts w:ascii="Calibri" w:eastAsia="Times New Roman" w:hAnsi="Calibri" w:cs="Calibri"/>
          <w:color w:val="44546A"/>
        </w:rPr>
      </w:pPr>
      <w:r w:rsidRPr="002E481B">
        <w:rPr>
          <w:rFonts w:ascii="Calibri" w:eastAsia="Times New Roman" w:hAnsi="Calibri" w:cs="Calibri"/>
          <w:color w:val="44546A"/>
        </w:rPr>
        <w:t>Post COVID-19, both the government of Djibouti and the development partners made emergency</w:t>
      </w:r>
      <w:r>
        <w:rPr>
          <w:rFonts w:ascii="Calibri" w:eastAsia="Times New Roman" w:hAnsi="Calibri" w:cs="Calibri"/>
          <w:color w:val="44546A"/>
        </w:rPr>
        <w:t xml:space="preserve"> </w:t>
      </w:r>
      <w:r w:rsidRPr="002E481B">
        <w:rPr>
          <w:rFonts w:ascii="Calibri" w:eastAsia="Times New Roman" w:hAnsi="Calibri" w:cs="Calibri"/>
          <w:color w:val="44546A"/>
        </w:rPr>
        <w:t xml:space="preserve">investments for the quick socio-economic recovery of the national economy as well as that of the vulnerable populations. For Djibouti, pandemic does not just affect </w:t>
      </w:r>
      <w:r w:rsidR="000822EE">
        <w:rPr>
          <w:rFonts w:ascii="Calibri" w:eastAsia="Times New Roman" w:hAnsi="Calibri" w:cs="Calibri"/>
          <w:color w:val="44546A"/>
        </w:rPr>
        <w:t xml:space="preserve">the </w:t>
      </w:r>
      <w:r w:rsidRPr="002E481B">
        <w:rPr>
          <w:rFonts w:ascii="Calibri" w:eastAsia="Times New Roman" w:hAnsi="Calibri" w:cs="Calibri"/>
          <w:color w:val="44546A"/>
        </w:rPr>
        <w:t xml:space="preserve">domestic economy, rather limits the national income </w:t>
      </w:r>
      <w:proofErr w:type="gramStart"/>
      <w:r w:rsidRPr="002E481B">
        <w:rPr>
          <w:rFonts w:ascii="Calibri" w:eastAsia="Times New Roman" w:hAnsi="Calibri" w:cs="Calibri"/>
          <w:color w:val="44546A"/>
        </w:rPr>
        <w:t>sources</w:t>
      </w:r>
      <w:proofErr w:type="gramEnd"/>
      <w:r w:rsidRPr="002E481B">
        <w:rPr>
          <w:rFonts w:ascii="Calibri" w:eastAsia="Times New Roman" w:hAnsi="Calibri" w:cs="Calibri"/>
          <w:color w:val="44546A"/>
        </w:rPr>
        <w:t xml:space="preserve"> and tends to paralyze </w:t>
      </w:r>
      <w:r w:rsidR="000822EE">
        <w:rPr>
          <w:rFonts w:ascii="Calibri" w:eastAsia="Times New Roman" w:hAnsi="Calibri" w:cs="Calibri"/>
          <w:color w:val="44546A"/>
        </w:rPr>
        <w:t xml:space="preserve">a </w:t>
      </w:r>
      <w:r w:rsidRPr="002E481B">
        <w:rPr>
          <w:rFonts w:ascii="Calibri" w:eastAsia="Times New Roman" w:hAnsi="Calibri" w:cs="Calibri"/>
          <w:color w:val="44546A"/>
        </w:rPr>
        <w:t xml:space="preserve">significant portion of resource mobilization potential. </w:t>
      </w:r>
      <w:r w:rsidR="000822EE">
        <w:rPr>
          <w:rFonts w:ascii="Calibri" w:eastAsia="Times New Roman" w:hAnsi="Calibri" w:cs="Calibri"/>
          <w:color w:val="44546A"/>
        </w:rPr>
        <w:t>The cost</w:t>
      </w:r>
      <w:r w:rsidRPr="002E481B">
        <w:rPr>
          <w:rFonts w:ascii="Calibri" w:eastAsia="Times New Roman" w:hAnsi="Calibri" w:cs="Calibri"/>
          <w:color w:val="44546A"/>
        </w:rPr>
        <w:t xml:space="preserve"> of living in Djibouti is already one of the highest in the region and</w:t>
      </w:r>
      <w:r w:rsidR="00FD6F5F">
        <w:rPr>
          <w:rFonts w:ascii="Calibri" w:eastAsia="Times New Roman" w:hAnsi="Calibri" w:cs="Calibri"/>
          <w:color w:val="44546A"/>
        </w:rPr>
        <w:t xml:space="preserve"> the</w:t>
      </w:r>
      <w:r w:rsidRPr="002E481B">
        <w:rPr>
          <w:rFonts w:ascii="Calibri" w:eastAsia="Times New Roman" w:hAnsi="Calibri" w:cs="Calibri"/>
          <w:color w:val="44546A"/>
        </w:rPr>
        <w:t xml:space="preserve"> continent, which has </w:t>
      </w:r>
      <w:r w:rsidR="000822EE">
        <w:rPr>
          <w:rFonts w:ascii="Calibri" w:eastAsia="Times New Roman" w:hAnsi="Calibri" w:cs="Calibri"/>
          <w:color w:val="44546A"/>
        </w:rPr>
        <w:t xml:space="preserve">been </w:t>
      </w:r>
      <w:r w:rsidRPr="002E481B">
        <w:rPr>
          <w:rFonts w:ascii="Calibri" w:eastAsia="Times New Roman" w:hAnsi="Calibri" w:cs="Calibri"/>
          <w:color w:val="44546A"/>
        </w:rPr>
        <w:t xml:space="preserve">further aggravated by the pandemic. The quick-fix solutions with an intent to build back better </w:t>
      </w:r>
      <w:r w:rsidR="000822EE">
        <w:rPr>
          <w:rFonts w:ascii="Calibri" w:eastAsia="Times New Roman" w:hAnsi="Calibri" w:cs="Calibri"/>
          <w:color w:val="44546A"/>
        </w:rPr>
        <w:t>have</w:t>
      </w:r>
      <w:r w:rsidRPr="002E481B">
        <w:rPr>
          <w:rFonts w:ascii="Calibri" w:eastAsia="Times New Roman" w:hAnsi="Calibri" w:cs="Calibri"/>
          <w:color w:val="44546A"/>
        </w:rPr>
        <w:t xml:space="preserve"> been able to stabilize the situation to a certain degree. However, Djibouti needs to leap forward to not just recuperate from the losses incurred during the pandemic but also to regain the double-digit economic growth that Vision 2035 has envisioned.</w:t>
      </w:r>
      <w:r w:rsidR="00075919">
        <w:rPr>
          <w:rFonts w:ascii="Calibri" w:eastAsia="Times New Roman" w:hAnsi="Calibri" w:cs="Calibri"/>
          <w:color w:val="44546A"/>
        </w:rPr>
        <w:t xml:space="preserve"> </w:t>
      </w:r>
    </w:p>
    <w:p w14:paraId="2E55D722" w14:textId="77777777" w:rsidR="00075919" w:rsidRDefault="002E481B" w:rsidP="00075919">
      <w:pPr>
        <w:ind w:left="-284"/>
        <w:jc w:val="both"/>
        <w:rPr>
          <w:rFonts w:ascii="Calibri" w:eastAsia="Times New Roman" w:hAnsi="Calibri" w:cs="Calibri"/>
          <w:color w:val="44546A"/>
        </w:rPr>
      </w:pPr>
      <w:r w:rsidRPr="002E481B">
        <w:rPr>
          <w:rFonts w:ascii="Calibri" w:eastAsia="Times New Roman" w:hAnsi="Calibri" w:cs="Calibri"/>
          <w:color w:val="44546A"/>
        </w:rPr>
        <w:t xml:space="preserve">National Development Plan, Djibouti ICI 2020-2024 has provided more clarity and guidance on the national economic growth priorities and approaches. In the lead up to the National Development Plan development, Djibouti had undertaken several important assessments and diagnostic studies with support from the development partners, mainly the World Bank Group and the UNDP. The key assessments and guidance documents in this regard are – SDG Investor Map, Integrated National Financing Framework, Private Sector Engagement Diagnostic </w:t>
      </w:r>
      <w:proofErr w:type="gramStart"/>
      <w:r w:rsidRPr="002E481B">
        <w:rPr>
          <w:rFonts w:ascii="Calibri" w:eastAsia="Times New Roman" w:hAnsi="Calibri" w:cs="Calibri"/>
          <w:color w:val="44546A"/>
        </w:rPr>
        <w:t>Assessment</w:t>
      </w:r>
      <w:proofErr w:type="gramEnd"/>
      <w:r w:rsidRPr="002E481B">
        <w:rPr>
          <w:rFonts w:ascii="Calibri" w:eastAsia="Times New Roman" w:hAnsi="Calibri" w:cs="Calibri"/>
          <w:color w:val="44546A"/>
        </w:rPr>
        <w:t xml:space="preserve"> and Islamic Financing Mechanisms Assessment. </w:t>
      </w:r>
    </w:p>
    <w:p w14:paraId="10BEB3C0" w14:textId="6B366E29" w:rsidR="002E481B" w:rsidRDefault="002E481B" w:rsidP="00075919">
      <w:pPr>
        <w:ind w:left="-284"/>
        <w:jc w:val="both"/>
        <w:rPr>
          <w:rFonts w:ascii="Calibri" w:eastAsia="Times New Roman" w:hAnsi="Calibri" w:cs="Calibri"/>
          <w:color w:val="44546A"/>
        </w:rPr>
      </w:pPr>
      <w:r w:rsidRPr="002E481B">
        <w:rPr>
          <w:rFonts w:ascii="Calibri" w:eastAsia="Times New Roman" w:hAnsi="Calibri" w:cs="Calibri"/>
          <w:color w:val="44546A"/>
        </w:rPr>
        <w:t xml:space="preserve">While these assessments provide analysis and propose a mechanism, there is a need </w:t>
      </w:r>
      <w:r w:rsidR="000822EE">
        <w:rPr>
          <w:rFonts w:ascii="Calibri" w:eastAsia="Times New Roman" w:hAnsi="Calibri" w:cs="Calibri"/>
          <w:color w:val="44546A"/>
        </w:rPr>
        <w:t>to transpire the national development aspirations to the regional levels</w:t>
      </w:r>
      <w:r w:rsidR="00FD6F5F">
        <w:rPr>
          <w:rFonts w:ascii="Calibri" w:eastAsia="Times New Roman" w:hAnsi="Calibri" w:cs="Calibri"/>
          <w:color w:val="44546A"/>
        </w:rPr>
        <w:t xml:space="preserve"> and foster a whole-of-government approach to ensure that governance and development </w:t>
      </w:r>
      <w:r w:rsidR="00314F6F">
        <w:rPr>
          <w:rFonts w:ascii="Calibri" w:eastAsia="Times New Roman" w:hAnsi="Calibri" w:cs="Calibri"/>
          <w:color w:val="44546A"/>
        </w:rPr>
        <w:t>are</w:t>
      </w:r>
      <w:r w:rsidR="00FD6F5F">
        <w:rPr>
          <w:rFonts w:ascii="Calibri" w:eastAsia="Times New Roman" w:hAnsi="Calibri" w:cs="Calibri"/>
          <w:color w:val="44546A"/>
        </w:rPr>
        <w:t xml:space="preserve"> inclusive and </w:t>
      </w:r>
      <w:r w:rsidR="00314F6F">
        <w:rPr>
          <w:rFonts w:ascii="Calibri" w:eastAsia="Times New Roman" w:hAnsi="Calibri" w:cs="Calibri"/>
          <w:color w:val="44546A"/>
        </w:rPr>
        <w:t>impactful</w:t>
      </w:r>
      <w:r w:rsidR="000822EE">
        <w:rPr>
          <w:rFonts w:ascii="Calibri" w:eastAsia="Times New Roman" w:hAnsi="Calibri" w:cs="Calibri"/>
          <w:color w:val="44546A"/>
        </w:rPr>
        <w:t xml:space="preserve">. The government of France is supporting </w:t>
      </w:r>
      <w:r w:rsidR="00AC40C7">
        <w:rPr>
          <w:rFonts w:ascii="Calibri" w:eastAsia="Times New Roman" w:hAnsi="Calibri" w:cs="Calibri"/>
          <w:color w:val="44546A"/>
        </w:rPr>
        <w:t xml:space="preserve">Regional Governments to develop Regional Development Plan and support the decentralization process. Djibouti is </w:t>
      </w:r>
      <w:proofErr w:type="gramStart"/>
      <w:r w:rsidR="00314F6F">
        <w:rPr>
          <w:rFonts w:ascii="Calibri" w:eastAsia="Times New Roman" w:hAnsi="Calibri" w:cs="Calibri"/>
          <w:color w:val="44546A"/>
        </w:rPr>
        <w:t>lagging</w:t>
      </w:r>
      <w:r w:rsidR="00AC40C7">
        <w:rPr>
          <w:rFonts w:ascii="Calibri" w:eastAsia="Times New Roman" w:hAnsi="Calibri" w:cs="Calibri"/>
          <w:color w:val="44546A"/>
        </w:rPr>
        <w:t xml:space="preserve"> </w:t>
      </w:r>
      <w:r w:rsidR="00314F6F">
        <w:rPr>
          <w:rFonts w:ascii="Calibri" w:eastAsia="Times New Roman" w:hAnsi="Calibri" w:cs="Calibri"/>
          <w:color w:val="44546A"/>
        </w:rPr>
        <w:t>behind</w:t>
      </w:r>
      <w:proofErr w:type="gramEnd"/>
      <w:r w:rsidR="00314F6F">
        <w:rPr>
          <w:rFonts w:ascii="Calibri" w:eastAsia="Times New Roman" w:hAnsi="Calibri" w:cs="Calibri"/>
          <w:color w:val="44546A"/>
        </w:rPr>
        <w:t xml:space="preserve"> </w:t>
      </w:r>
      <w:r w:rsidR="00AC40C7">
        <w:rPr>
          <w:rFonts w:ascii="Calibri" w:eastAsia="Times New Roman" w:hAnsi="Calibri" w:cs="Calibri"/>
          <w:color w:val="44546A"/>
        </w:rPr>
        <w:t>many other lower-middle-income countries in the Human Development Indices as well as on multidimensional poverty indices. The SDG targets are not customized to the country context; however, the National Development Plan has been built on the foundations of SDGs and SDG targets</w:t>
      </w:r>
      <w:r w:rsidR="00314F6F">
        <w:rPr>
          <w:rFonts w:ascii="Calibri" w:eastAsia="Times New Roman" w:hAnsi="Calibri" w:cs="Calibri"/>
          <w:color w:val="44546A"/>
        </w:rPr>
        <w:t xml:space="preserve"> as </w:t>
      </w:r>
      <w:r w:rsidR="00195F46">
        <w:rPr>
          <w:rFonts w:ascii="Calibri" w:eastAsia="Times New Roman" w:hAnsi="Calibri" w:cs="Calibri"/>
          <w:color w:val="44546A"/>
        </w:rPr>
        <w:t xml:space="preserve">a partial </w:t>
      </w:r>
      <w:r w:rsidR="00314F6F">
        <w:rPr>
          <w:rFonts w:ascii="Calibri" w:eastAsia="Times New Roman" w:hAnsi="Calibri" w:cs="Calibri"/>
          <w:color w:val="44546A"/>
        </w:rPr>
        <w:t>compensation</w:t>
      </w:r>
      <w:r w:rsidR="00AC40C7">
        <w:rPr>
          <w:rFonts w:ascii="Calibri" w:eastAsia="Times New Roman" w:hAnsi="Calibri" w:cs="Calibri"/>
          <w:color w:val="44546A"/>
        </w:rPr>
        <w:t xml:space="preserve">. </w:t>
      </w:r>
      <w:r w:rsidR="00314F6F">
        <w:rPr>
          <w:rFonts w:ascii="Calibri" w:eastAsia="Times New Roman" w:hAnsi="Calibri" w:cs="Calibri"/>
          <w:color w:val="44546A"/>
        </w:rPr>
        <w:t xml:space="preserve">While there is still a strong need for integration and alignment between the NDP and SDGs, </w:t>
      </w:r>
      <w:r w:rsidR="00AC40C7">
        <w:rPr>
          <w:rFonts w:ascii="Calibri" w:eastAsia="Times New Roman" w:hAnsi="Calibri" w:cs="Calibri"/>
          <w:color w:val="44546A"/>
        </w:rPr>
        <w:t xml:space="preserve">there is an opportunity to </w:t>
      </w:r>
      <w:r w:rsidR="00314F6F">
        <w:rPr>
          <w:rFonts w:ascii="Calibri" w:eastAsia="Times New Roman" w:hAnsi="Calibri" w:cs="Calibri"/>
          <w:color w:val="44546A"/>
        </w:rPr>
        <w:t xml:space="preserve">use the National Development Plan (NDP) and the Monitoring Framework of the NDP to </w:t>
      </w:r>
      <w:r w:rsidR="00AC40C7">
        <w:rPr>
          <w:rFonts w:ascii="Calibri" w:eastAsia="Times New Roman" w:hAnsi="Calibri" w:cs="Calibri"/>
          <w:color w:val="44546A"/>
        </w:rPr>
        <w:t xml:space="preserve">identify the priority SDGs for each region and collaborate with the government and development partners to localize the SDGs and contribute towards resilient local development and accountable governance mechanisms. </w:t>
      </w:r>
    </w:p>
    <w:p w14:paraId="222D109C" w14:textId="01F64C7D" w:rsidR="00195F46" w:rsidRPr="002E481B" w:rsidRDefault="00195F46" w:rsidP="00075919">
      <w:pPr>
        <w:ind w:left="-284"/>
        <w:jc w:val="both"/>
        <w:rPr>
          <w:rFonts w:ascii="Calibri" w:eastAsia="Times New Roman" w:hAnsi="Calibri" w:cs="Calibri"/>
          <w:color w:val="44546A"/>
        </w:rPr>
      </w:pPr>
      <w:r>
        <w:rPr>
          <w:rFonts w:ascii="Calibri" w:eastAsia="Times New Roman" w:hAnsi="Calibri" w:cs="Calibri"/>
          <w:color w:val="44546A"/>
        </w:rPr>
        <w:t>In the context that UNDP is co-chairing the Secretary General’s SDG Localization Initiative and under the guidance of the Local 2030 Coalition, UNDP is best placed to translate the SDG localization approach into the recently initiated decentralization process and support the government of Djibouti to build a better functioning and balanced multilevel governance system.</w:t>
      </w:r>
    </w:p>
    <w:p w14:paraId="4F3DAF7D" w14:textId="77777777" w:rsidR="00E5660B" w:rsidRDefault="00E5660B" w:rsidP="00E5660B">
      <w:pPr>
        <w:spacing w:after="0" w:line="240" w:lineRule="auto"/>
        <w:ind w:left="-180" w:hanging="180"/>
        <w:rPr>
          <w:rFonts w:ascii="Calibri" w:eastAsia="Times New Roman" w:hAnsi="Calibri" w:cs="Calibri"/>
          <w:b/>
          <w:bCs/>
          <w:color w:val="44546A"/>
          <w:sz w:val="28"/>
          <w:szCs w:val="28"/>
          <w:u w:val="single"/>
        </w:rPr>
      </w:pPr>
    </w:p>
    <w:p w14:paraId="18989C50" w14:textId="3A8C9274" w:rsidR="00CF24EB" w:rsidRPr="00E5660B" w:rsidRDefault="00CF24EB" w:rsidP="00E5660B">
      <w:pPr>
        <w:spacing w:after="0" w:line="240" w:lineRule="auto"/>
        <w:ind w:left="-180" w:hanging="180"/>
        <w:rPr>
          <w:rFonts w:ascii="Calibri" w:eastAsia="Times New Roman" w:hAnsi="Calibri" w:cs="Calibri"/>
          <w:b/>
          <w:bCs/>
          <w:color w:val="44546A"/>
          <w:sz w:val="28"/>
          <w:szCs w:val="28"/>
          <w:u w:val="single"/>
        </w:rPr>
      </w:pPr>
      <w:r w:rsidRPr="00E5660B">
        <w:rPr>
          <w:rFonts w:ascii="Calibri" w:eastAsia="Times New Roman" w:hAnsi="Calibri" w:cs="Calibri"/>
          <w:b/>
          <w:bCs/>
          <w:color w:val="44546A"/>
          <w:u w:val="single"/>
        </w:rPr>
        <w:t xml:space="preserve">Strategic objectives: </w:t>
      </w:r>
    </w:p>
    <w:p w14:paraId="3814215F" w14:textId="77511359" w:rsidR="00B51F1E" w:rsidRDefault="00B51F1E" w:rsidP="00A42020">
      <w:pPr>
        <w:shd w:val="clear" w:color="auto" w:fill="FFFFFF" w:themeFill="background1"/>
        <w:spacing w:after="0" w:line="240" w:lineRule="auto"/>
        <w:ind w:left="-180" w:hanging="180"/>
        <w:rPr>
          <w:rFonts w:ascii="Calibri" w:eastAsia="Times New Roman" w:hAnsi="Calibri" w:cs="Calibri"/>
          <w:color w:val="44546A"/>
        </w:rPr>
      </w:pPr>
    </w:p>
    <w:p w14:paraId="01206C5C" w14:textId="18844013" w:rsidR="00112F5D" w:rsidRDefault="00112F5D" w:rsidP="00112F5D">
      <w:pPr>
        <w:shd w:val="clear" w:color="auto" w:fill="FFFFFF" w:themeFill="background1"/>
        <w:spacing w:after="0" w:line="240" w:lineRule="auto"/>
        <w:ind w:left="-360"/>
        <w:jc w:val="both"/>
        <w:rPr>
          <w:rFonts w:ascii="Calibri" w:eastAsia="Times New Roman" w:hAnsi="Calibri" w:cs="Calibri"/>
          <w:color w:val="44546A"/>
        </w:rPr>
      </w:pPr>
      <w:r>
        <w:rPr>
          <w:rFonts w:ascii="Calibri" w:eastAsia="Times New Roman" w:hAnsi="Calibri" w:cs="Calibri"/>
          <w:color w:val="44546A"/>
        </w:rPr>
        <w:t xml:space="preserve">The CO is engaging with the government and partners in designing a comprehensive project on transformative governance and SDG impact investment to enable an inclusive and resilient economic growth trajectory. </w:t>
      </w:r>
      <w:r w:rsidR="00B66AEF">
        <w:rPr>
          <w:rFonts w:ascii="Calibri" w:eastAsia="Times New Roman" w:hAnsi="Calibri" w:cs="Calibri"/>
          <w:color w:val="44546A"/>
        </w:rPr>
        <w:t xml:space="preserve">The main strategy is </w:t>
      </w:r>
      <w:r>
        <w:rPr>
          <w:rFonts w:ascii="Calibri" w:eastAsia="Times New Roman" w:hAnsi="Calibri" w:cs="Calibri"/>
          <w:color w:val="44546A"/>
        </w:rPr>
        <w:t xml:space="preserve">to utilize the Incubation Fund as the seed fund to design tools and identify enablers and approaches of attaining the 2030 Agenda through a whole-of-government approach for integrated local development of Djibouti and support an ongoing resource mobilization process. </w:t>
      </w:r>
    </w:p>
    <w:p w14:paraId="3CA35B12" w14:textId="53E9A80A" w:rsidR="00112F5D" w:rsidRDefault="00112F5D" w:rsidP="00112F5D">
      <w:pPr>
        <w:shd w:val="clear" w:color="auto" w:fill="FFFFFF" w:themeFill="background1"/>
        <w:spacing w:after="0" w:line="240" w:lineRule="auto"/>
        <w:ind w:left="-360"/>
        <w:rPr>
          <w:rFonts w:ascii="Calibri" w:eastAsia="Times New Roman" w:hAnsi="Calibri" w:cs="Calibri"/>
          <w:color w:val="44546A"/>
        </w:rPr>
      </w:pPr>
    </w:p>
    <w:p w14:paraId="45BA0C4C" w14:textId="1A6B5E27" w:rsidR="00CD129A" w:rsidRPr="00E5660B" w:rsidRDefault="00CD129A" w:rsidP="00E5660B">
      <w:pPr>
        <w:shd w:val="clear" w:color="auto" w:fill="FFFFFF" w:themeFill="background1"/>
        <w:spacing w:after="0" w:line="240" w:lineRule="auto"/>
        <w:ind w:left="-360"/>
        <w:rPr>
          <w:rFonts w:ascii="Calibri" w:eastAsia="Times New Roman" w:hAnsi="Calibri" w:cs="Calibri"/>
          <w:b/>
          <w:bCs/>
          <w:color w:val="44546A"/>
          <w:u w:val="single"/>
        </w:rPr>
      </w:pPr>
      <w:r w:rsidRPr="00E5660B">
        <w:rPr>
          <w:rFonts w:ascii="Calibri" w:eastAsia="Times New Roman" w:hAnsi="Calibri" w:cs="Calibri"/>
          <w:b/>
          <w:bCs/>
          <w:color w:val="44546A"/>
          <w:u w:val="single"/>
        </w:rPr>
        <w:t>Theory of change statement:</w:t>
      </w:r>
    </w:p>
    <w:p w14:paraId="38B6DE53" w14:textId="77777777" w:rsidR="00267E5D" w:rsidRPr="00CD129A" w:rsidRDefault="00267E5D" w:rsidP="004320E7">
      <w:pPr>
        <w:shd w:val="clear" w:color="auto" w:fill="FFFFFF" w:themeFill="background1"/>
        <w:spacing w:after="0" w:line="240" w:lineRule="auto"/>
        <w:ind w:left="-360"/>
        <w:rPr>
          <w:rFonts w:ascii="Calibri" w:eastAsia="Times New Roman" w:hAnsi="Calibri" w:cs="Calibri"/>
          <w:color w:val="44546A"/>
        </w:rPr>
      </w:pPr>
    </w:p>
    <w:p w14:paraId="00864343" w14:textId="7A80ED25" w:rsidR="00CD129A" w:rsidRDefault="00CD129A" w:rsidP="003710A1">
      <w:pPr>
        <w:shd w:val="clear" w:color="auto" w:fill="FFFFFF" w:themeFill="background1"/>
        <w:spacing w:after="0" w:line="240" w:lineRule="auto"/>
        <w:ind w:left="-360"/>
        <w:jc w:val="both"/>
        <w:rPr>
          <w:rFonts w:ascii="Calibri" w:eastAsia="Times New Roman" w:hAnsi="Calibri" w:cs="Calibri"/>
          <w:color w:val="44546A"/>
        </w:rPr>
      </w:pPr>
      <w:r w:rsidRPr="00CD129A">
        <w:rPr>
          <w:rFonts w:ascii="Calibri" w:eastAsia="Times New Roman" w:hAnsi="Calibri" w:cs="Calibri"/>
          <w:color w:val="44546A"/>
        </w:rPr>
        <w:lastRenderedPageBreak/>
        <w:t xml:space="preserve">Regaining pre-pandemic GDP Growth Trajectory and attaining </w:t>
      </w:r>
      <w:r w:rsidR="005C356A">
        <w:rPr>
          <w:rFonts w:ascii="Calibri" w:eastAsia="Times New Roman" w:hAnsi="Calibri" w:cs="Calibri"/>
          <w:color w:val="44546A"/>
        </w:rPr>
        <w:t xml:space="preserve">SDGs targets prioritized within the new </w:t>
      </w:r>
      <w:r w:rsidRPr="00CD129A">
        <w:rPr>
          <w:rFonts w:ascii="Calibri" w:eastAsia="Times New Roman" w:hAnsi="Calibri" w:cs="Calibri"/>
          <w:color w:val="44546A"/>
        </w:rPr>
        <w:t xml:space="preserve">National Development Plan </w:t>
      </w:r>
      <w:r w:rsidR="006B6F1D">
        <w:rPr>
          <w:rFonts w:ascii="Calibri" w:eastAsia="Times New Roman" w:hAnsi="Calibri" w:cs="Calibri"/>
          <w:color w:val="44546A"/>
        </w:rPr>
        <w:t xml:space="preserve">‘Djibouti ICI’ </w:t>
      </w:r>
      <w:r w:rsidRPr="00CD129A">
        <w:rPr>
          <w:rFonts w:ascii="Calibri" w:eastAsia="Times New Roman" w:hAnsi="Calibri" w:cs="Calibri"/>
          <w:color w:val="44546A"/>
        </w:rPr>
        <w:t>will be possible if:</w:t>
      </w:r>
    </w:p>
    <w:p w14:paraId="3F168F11" w14:textId="77777777" w:rsidR="001B11FF" w:rsidRDefault="001B11FF" w:rsidP="003710A1">
      <w:pPr>
        <w:shd w:val="clear" w:color="auto" w:fill="FFFFFF" w:themeFill="background1"/>
        <w:spacing w:after="0" w:line="240" w:lineRule="auto"/>
        <w:ind w:left="-360"/>
        <w:jc w:val="both"/>
        <w:rPr>
          <w:rFonts w:ascii="Calibri" w:eastAsia="Times New Roman" w:hAnsi="Calibri" w:cs="Calibri"/>
          <w:color w:val="44546A"/>
        </w:rPr>
      </w:pPr>
    </w:p>
    <w:p w14:paraId="0D18326F" w14:textId="16CFF9B1" w:rsidR="00112F5D" w:rsidRDefault="00112F5D" w:rsidP="006967CE">
      <w:pPr>
        <w:pStyle w:val="ListParagraph"/>
        <w:numPr>
          <w:ilvl w:val="0"/>
          <w:numId w:val="8"/>
        </w:numPr>
        <w:shd w:val="clear" w:color="auto" w:fill="FFFFFF" w:themeFill="background1"/>
        <w:tabs>
          <w:tab w:val="clear" w:pos="360"/>
          <w:tab w:val="num" w:pos="142"/>
        </w:tabs>
        <w:spacing w:after="0" w:line="240" w:lineRule="auto"/>
        <w:ind w:left="142" w:hanging="284"/>
        <w:jc w:val="both"/>
        <w:rPr>
          <w:rFonts w:ascii="Calibri" w:eastAsia="Times New Roman" w:hAnsi="Calibri" w:cs="Calibri"/>
          <w:color w:val="44546A"/>
        </w:rPr>
      </w:pPr>
      <w:r>
        <w:rPr>
          <w:rFonts w:ascii="Calibri" w:eastAsia="Times New Roman" w:hAnsi="Calibri" w:cs="Calibri"/>
          <w:color w:val="44546A"/>
        </w:rPr>
        <w:t xml:space="preserve">Regional and Local Development Plans follow similar inclusive and SDG-centric approach as the National Development </w:t>
      </w:r>
      <w:r w:rsidR="00FA1615">
        <w:rPr>
          <w:rFonts w:ascii="Calibri" w:eastAsia="Times New Roman" w:hAnsi="Calibri" w:cs="Calibri"/>
          <w:color w:val="44546A"/>
        </w:rPr>
        <w:t>Plan.</w:t>
      </w:r>
      <w:r w:rsidR="00932B9D">
        <w:rPr>
          <w:rFonts w:ascii="Calibri" w:eastAsia="Times New Roman" w:hAnsi="Calibri" w:cs="Calibri"/>
          <w:color w:val="44546A"/>
        </w:rPr>
        <w:t xml:space="preserve"> </w:t>
      </w:r>
    </w:p>
    <w:p w14:paraId="67202F2D" w14:textId="31A01C03" w:rsidR="006321BD" w:rsidRDefault="006321BD" w:rsidP="006967CE">
      <w:pPr>
        <w:pStyle w:val="ListParagraph"/>
        <w:numPr>
          <w:ilvl w:val="0"/>
          <w:numId w:val="8"/>
        </w:numPr>
        <w:shd w:val="clear" w:color="auto" w:fill="FFFFFF" w:themeFill="background1"/>
        <w:tabs>
          <w:tab w:val="clear" w:pos="360"/>
          <w:tab w:val="num" w:pos="142"/>
        </w:tabs>
        <w:spacing w:after="0" w:line="240" w:lineRule="auto"/>
        <w:ind w:left="142" w:hanging="284"/>
        <w:jc w:val="both"/>
        <w:rPr>
          <w:rFonts w:ascii="Calibri" w:eastAsia="Times New Roman" w:hAnsi="Calibri" w:cs="Calibri"/>
          <w:color w:val="44546A"/>
        </w:rPr>
      </w:pPr>
      <w:r>
        <w:rPr>
          <w:rFonts w:ascii="Calibri" w:eastAsia="Times New Roman" w:hAnsi="Calibri" w:cs="Calibri"/>
          <w:color w:val="44546A"/>
        </w:rPr>
        <w:t xml:space="preserve">SDG financing, </w:t>
      </w:r>
      <w:r w:rsidR="00FA1615">
        <w:rPr>
          <w:rFonts w:ascii="Calibri" w:eastAsia="Times New Roman" w:hAnsi="Calibri" w:cs="Calibri"/>
          <w:color w:val="44546A"/>
        </w:rPr>
        <w:t>innovation,</w:t>
      </w:r>
      <w:r>
        <w:rPr>
          <w:rFonts w:ascii="Calibri" w:eastAsia="Times New Roman" w:hAnsi="Calibri" w:cs="Calibri"/>
          <w:color w:val="44546A"/>
        </w:rPr>
        <w:t xml:space="preserve"> and digitalization support development priorities at the national and regional level</w:t>
      </w:r>
      <w:r w:rsidR="00195F46">
        <w:rPr>
          <w:rFonts w:ascii="Calibri" w:eastAsia="Times New Roman" w:hAnsi="Calibri" w:cs="Calibri"/>
          <w:color w:val="44546A"/>
        </w:rPr>
        <w:t xml:space="preserve">, particularly those concerning </w:t>
      </w:r>
      <w:r w:rsidR="00FA1615">
        <w:rPr>
          <w:rFonts w:ascii="Calibri" w:eastAsia="Times New Roman" w:hAnsi="Calibri" w:cs="Calibri"/>
          <w:color w:val="44546A"/>
        </w:rPr>
        <w:t xml:space="preserve">the </w:t>
      </w:r>
      <w:r w:rsidR="00195F46">
        <w:rPr>
          <w:rFonts w:ascii="Calibri" w:eastAsia="Times New Roman" w:hAnsi="Calibri" w:cs="Calibri"/>
          <w:color w:val="44546A"/>
        </w:rPr>
        <w:t xml:space="preserve">empowerment of women and </w:t>
      </w:r>
      <w:r w:rsidR="00FA1615">
        <w:rPr>
          <w:rFonts w:ascii="Calibri" w:eastAsia="Times New Roman" w:hAnsi="Calibri" w:cs="Calibri"/>
          <w:color w:val="44546A"/>
        </w:rPr>
        <w:t>youth.</w:t>
      </w:r>
    </w:p>
    <w:p w14:paraId="675B2E44" w14:textId="75FFE787" w:rsidR="006321BD" w:rsidRDefault="006321BD" w:rsidP="006967CE">
      <w:pPr>
        <w:pStyle w:val="ListParagraph"/>
        <w:numPr>
          <w:ilvl w:val="0"/>
          <w:numId w:val="8"/>
        </w:numPr>
        <w:shd w:val="clear" w:color="auto" w:fill="FFFFFF" w:themeFill="background1"/>
        <w:tabs>
          <w:tab w:val="clear" w:pos="360"/>
          <w:tab w:val="num" w:pos="142"/>
        </w:tabs>
        <w:spacing w:after="0" w:line="240" w:lineRule="auto"/>
        <w:ind w:left="142" w:hanging="284"/>
        <w:jc w:val="both"/>
        <w:rPr>
          <w:rFonts w:ascii="Calibri" w:eastAsia="Times New Roman" w:hAnsi="Calibri" w:cs="Calibri"/>
          <w:color w:val="44546A"/>
        </w:rPr>
      </w:pPr>
      <w:r>
        <w:rPr>
          <w:rFonts w:ascii="Calibri" w:eastAsia="Times New Roman" w:hAnsi="Calibri" w:cs="Calibri"/>
          <w:color w:val="44546A"/>
        </w:rPr>
        <w:t xml:space="preserve">Monitoring and Tracking mechanisms form integral components of the national and development </w:t>
      </w:r>
      <w:r w:rsidR="00FA1615">
        <w:rPr>
          <w:rFonts w:ascii="Calibri" w:eastAsia="Times New Roman" w:hAnsi="Calibri" w:cs="Calibri"/>
          <w:color w:val="44546A"/>
        </w:rPr>
        <w:t>financing.</w:t>
      </w:r>
    </w:p>
    <w:p w14:paraId="0D3E3165" w14:textId="67DBC94D" w:rsidR="005216DB" w:rsidRPr="003710A1" w:rsidRDefault="008A08CC" w:rsidP="006967CE">
      <w:pPr>
        <w:pStyle w:val="ListParagraph"/>
        <w:numPr>
          <w:ilvl w:val="0"/>
          <w:numId w:val="8"/>
        </w:numPr>
        <w:shd w:val="clear" w:color="auto" w:fill="FFFFFF" w:themeFill="background1"/>
        <w:tabs>
          <w:tab w:val="clear" w:pos="360"/>
          <w:tab w:val="num" w:pos="142"/>
        </w:tabs>
        <w:spacing w:after="0" w:line="240" w:lineRule="auto"/>
        <w:ind w:left="142" w:hanging="284"/>
        <w:jc w:val="both"/>
        <w:rPr>
          <w:rFonts w:ascii="Calibri" w:eastAsia="Times New Roman" w:hAnsi="Calibri" w:cs="Calibri"/>
          <w:color w:val="44546A"/>
        </w:rPr>
      </w:pPr>
      <w:r w:rsidRPr="003710A1">
        <w:rPr>
          <w:rFonts w:ascii="Calibri" w:eastAsia="Times New Roman" w:hAnsi="Calibri" w:cs="Calibri"/>
          <w:color w:val="44546A"/>
        </w:rPr>
        <w:t xml:space="preserve">National authorities and civil society </w:t>
      </w:r>
      <w:r w:rsidR="0078660D" w:rsidRPr="003710A1">
        <w:rPr>
          <w:rFonts w:ascii="Calibri" w:eastAsia="Times New Roman" w:hAnsi="Calibri" w:cs="Calibri"/>
          <w:color w:val="44546A"/>
        </w:rPr>
        <w:t xml:space="preserve">have the </w:t>
      </w:r>
      <w:r w:rsidR="00EF08A8" w:rsidRPr="003710A1">
        <w:rPr>
          <w:rFonts w:ascii="Calibri" w:eastAsia="Times New Roman" w:hAnsi="Calibri" w:cs="Calibri"/>
          <w:color w:val="44546A"/>
        </w:rPr>
        <w:t xml:space="preserve">capacities and resources </w:t>
      </w:r>
      <w:r w:rsidR="005216DB" w:rsidRPr="003710A1">
        <w:rPr>
          <w:rFonts w:ascii="Calibri" w:eastAsia="Times New Roman" w:hAnsi="Calibri" w:cs="Calibri"/>
          <w:color w:val="44546A"/>
        </w:rPr>
        <w:t>for</w:t>
      </w:r>
      <w:r w:rsidR="00EF08A8" w:rsidRPr="003710A1">
        <w:rPr>
          <w:rFonts w:ascii="Calibri" w:eastAsia="Times New Roman" w:hAnsi="Calibri" w:cs="Calibri"/>
          <w:color w:val="44546A"/>
        </w:rPr>
        <w:t xml:space="preserve"> </w:t>
      </w:r>
      <w:r w:rsidR="00E900B5" w:rsidRPr="003710A1">
        <w:rPr>
          <w:rFonts w:ascii="Calibri" w:eastAsia="Times New Roman" w:hAnsi="Calibri" w:cs="Calibri"/>
          <w:color w:val="44546A"/>
        </w:rPr>
        <w:t xml:space="preserve">common </w:t>
      </w:r>
      <w:r w:rsidR="00A04752" w:rsidRPr="003710A1">
        <w:rPr>
          <w:rFonts w:ascii="Calibri" w:eastAsia="Times New Roman" w:hAnsi="Calibri" w:cs="Calibri"/>
          <w:color w:val="44546A"/>
        </w:rPr>
        <w:t>plan</w:t>
      </w:r>
      <w:r w:rsidR="00E900B5" w:rsidRPr="003710A1">
        <w:rPr>
          <w:rFonts w:ascii="Calibri" w:eastAsia="Times New Roman" w:hAnsi="Calibri" w:cs="Calibri"/>
          <w:color w:val="44546A"/>
        </w:rPr>
        <w:t>ning</w:t>
      </w:r>
      <w:r w:rsidR="006321BD">
        <w:rPr>
          <w:rFonts w:ascii="Calibri" w:eastAsia="Times New Roman" w:hAnsi="Calibri" w:cs="Calibri"/>
          <w:color w:val="44546A"/>
        </w:rPr>
        <w:t xml:space="preserve">, </w:t>
      </w:r>
      <w:r w:rsidR="00FA1615">
        <w:rPr>
          <w:rFonts w:ascii="Calibri" w:eastAsia="Times New Roman" w:hAnsi="Calibri" w:cs="Calibri"/>
          <w:color w:val="44546A"/>
        </w:rPr>
        <w:t>budgeting,</w:t>
      </w:r>
      <w:r w:rsidR="006321BD">
        <w:rPr>
          <w:rFonts w:ascii="Calibri" w:eastAsia="Times New Roman" w:hAnsi="Calibri" w:cs="Calibri"/>
          <w:color w:val="44546A"/>
        </w:rPr>
        <w:t xml:space="preserve"> and implementing development interventions focused on priority </w:t>
      </w:r>
      <w:r w:rsidR="001C26D7">
        <w:rPr>
          <w:rFonts w:ascii="Calibri" w:eastAsia="Times New Roman" w:hAnsi="Calibri" w:cs="Calibri"/>
          <w:color w:val="44546A"/>
        </w:rPr>
        <w:t>SDG.</w:t>
      </w:r>
    </w:p>
    <w:p w14:paraId="6969BB09" w14:textId="51F789E8" w:rsidR="00A13DC6" w:rsidRPr="003710A1" w:rsidRDefault="00A13DC6" w:rsidP="006967CE">
      <w:pPr>
        <w:pStyle w:val="ListParagraph"/>
        <w:numPr>
          <w:ilvl w:val="0"/>
          <w:numId w:val="8"/>
        </w:numPr>
        <w:shd w:val="clear" w:color="auto" w:fill="FFFFFF" w:themeFill="background1"/>
        <w:tabs>
          <w:tab w:val="clear" w:pos="360"/>
          <w:tab w:val="num" w:pos="142"/>
        </w:tabs>
        <w:spacing w:after="0" w:line="240" w:lineRule="auto"/>
        <w:ind w:left="142" w:hanging="284"/>
        <w:jc w:val="both"/>
        <w:rPr>
          <w:rFonts w:ascii="Calibri" w:eastAsia="Times New Roman" w:hAnsi="Calibri" w:cs="Calibri"/>
          <w:color w:val="44546A"/>
        </w:rPr>
      </w:pPr>
      <w:r w:rsidRPr="003710A1">
        <w:rPr>
          <w:rFonts w:ascii="Calibri" w:eastAsia="Times New Roman" w:hAnsi="Calibri" w:cs="Calibri"/>
          <w:color w:val="44546A"/>
        </w:rPr>
        <w:t xml:space="preserve">Djibouti can develop human resources through high-quality skill-based </w:t>
      </w:r>
      <w:r w:rsidR="00932B9D">
        <w:rPr>
          <w:rFonts w:ascii="Calibri" w:eastAsia="Times New Roman" w:hAnsi="Calibri" w:cs="Calibri"/>
          <w:color w:val="44546A"/>
        </w:rPr>
        <w:t>training</w:t>
      </w:r>
      <w:r w:rsidRPr="003710A1">
        <w:rPr>
          <w:rFonts w:ascii="Calibri" w:eastAsia="Times New Roman" w:hAnsi="Calibri" w:cs="Calibri"/>
          <w:color w:val="44546A"/>
        </w:rPr>
        <w:t xml:space="preserve"> aligned with the Investment </w:t>
      </w:r>
      <w:r w:rsidR="00FA1615" w:rsidRPr="003710A1">
        <w:rPr>
          <w:rFonts w:ascii="Calibri" w:eastAsia="Times New Roman" w:hAnsi="Calibri" w:cs="Calibri"/>
          <w:color w:val="44546A"/>
        </w:rPr>
        <w:t>Areas.</w:t>
      </w:r>
      <w:r w:rsidRPr="003710A1">
        <w:rPr>
          <w:rFonts w:ascii="Calibri" w:eastAsia="Times New Roman" w:hAnsi="Calibri" w:cs="Calibri"/>
          <w:color w:val="44546A"/>
        </w:rPr>
        <w:t xml:space="preserve"> </w:t>
      </w:r>
    </w:p>
    <w:p w14:paraId="26D39D66" w14:textId="0A9A1A2A" w:rsidR="00A13DC6" w:rsidRDefault="00987FAB" w:rsidP="006967CE">
      <w:pPr>
        <w:pStyle w:val="ListParagraph"/>
        <w:numPr>
          <w:ilvl w:val="0"/>
          <w:numId w:val="8"/>
        </w:numPr>
        <w:shd w:val="clear" w:color="auto" w:fill="FFFFFF" w:themeFill="background1"/>
        <w:tabs>
          <w:tab w:val="clear" w:pos="360"/>
          <w:tab w:val="num" w:pos="142"/>
        </w:tabs>
        <w:spacing w:after="0" w:line="240" w:lineRule="auto"/>
        <w:ind w:left="142" w:hanging="284"/>
        <w:jc w:val="both"/>
        <w:rPr>
          <w:rFonts w:ascii="Calibri" w:eastAsia="Times New Roman" w:hAnsi="Calibri" w:cs="Calibri"/>
          <w:color w:val="44546A"/>
        </w:rPr>
      </w:pPr>
      <w:r w:rsidRPr="003710A1">
        <w:rPr>
          <w:rFonts w:ascii="Calibri" w:eastAsia="Times New Roman" w:hAnsi="Calibri" w:cs="Calibri"/>
          <w:color w:val="44546A"/>
        </w:rPr>
        <w:t xml:space="preserve">Djibouti can diversify </w:t>
      </w:r>
      <w:r w:rsidR="00E924B4">
        <w:rPr>
          <w:rFonts w:ascii="Calibri" w:eastAsia="Times New Roman" w:hAnsi="Calibri" w:cs="Calibri"/>
          <w:color w:val="44546A"/>
        </w:rPr>
        <w:t xml:space="preserve">its economy </w:t>
      </w:r>
      <w:r w:rsidRPr="003710A1">
        <w:rPr>
          <w:rFonts w:ascii="Calibri" w:eastAsia="Times New Roman" w:hAnsi="Calibri" w:cs="Calibri"/>
          <w:color w:val="44546A"/>
        </w:rPr>
        <w:t xml:space="preserve">for </w:t>
      </w:r>
      <w:r w:rsidR="00767E6B" w:rsidRPr="003710A1">
        <w:rPr>
          <w:rFonts w:ascii="Calibri" w:eastAsia="Times New Roman" w:hAnsi="Calibri" w:cs="Calibri"/>
          <w:color w:val="44546A"/>
        </w:rPr>
        <w:t xml:space="preserve">further investment </w:t>
      </w:r>
      <w:r w:rsidRPr="003710A1">
        <w:rPr>
          <w:rFonts w:ascii="Calibri" w:eastAsia="Times New Roman" w:hAnsi="Calibri" w:cs="Calibri"/>
          <w:color w:val="44546A"/>
        </w:rPr>
        <w:t>and enhance regional coordination</w:t>
      </w:r>
      <w:r w:rsidR="00195F46">
        <w:rPr>
          <w:rFonts w:ascii="Calibri" w:eastAsia="Times New Roman" w:hAnsi="Calibri" w:cs="Calibri"/>
          <w:color w:val="44546A"/>
        </w:rPr>
        <w:t xml:space="preserve"> with </w:t>
      </w:r>
      <w:r w:rsidR="00FA1615">
        <w:rPr>
          <w:rFonts w:ascii="Calibri" w:eastAsia="Times New Roman" w:hAnsi="Calibri" w:cs="Calibri"/>
          <w:color w:val="44546A"/>
        </w:rPr>
        <w:t xml:space="preserve">a </w:t>
      </w:r>
      <w:r w:rsidR="00195F46">
        <w:rPr>
          <w:rFonts w:ascii="Calibri" w:eastAsia="Times New Roman" w:hAnsi="Calibri" w:cs="Calibri"/>
          <w:color w:val="44546A"/>
        </w:rPr>
        <w:t>particular focus on the women-led and women-owned enterprises in the green and the blue economy sectors.</w:t>
      </w:r>
    </w:p>
    <w:p w14:paraId="6E623467" w14:textId="4BC001BC" w:rsidR="00314F6F" w:rsidRPr="003710A1" w:rsidRDefault="00314F6F" w:rsidP="006967CE">
      <w:pPr>
        <w:pStyle w:val="ListParagraph"/>
        <w:numPr>
          <w:ilvl w:val="0"/>
          <w:numId w:val="8"/>
        </w:numPr>
        <w:shd w:val="clear" w:color="auto" w:fill="FFFFFF" w:themeFill="background1"/>
        <w:tabs>
          <w:tab w:val="clear" w:pos="360"/>
          <w:tab w:val="num" w:pos="142"/>
        </w:tabs>
        <w:spacing w:after="0" w:line="240" w:lineRule="auto"/>
        <w:ind w:left="142" w:hanging="284"/>
        <w:jc w:val="both"/>
        <w:rPr>
          <w:rFonts w:ascii="Calibri" w:eastAsia="Times New Roman" w:hAnsi="Calibri" w:cs="Calibri"/>
          <w:color w:val="44546A"/>
        </w:rPr>
      </w:pPr>
      <w:r>
        <w:rPr>
          <w:rFonts w:ascii="Calibri" w:eastAsia="Times New Roman" w:hAnsi="Calibri" w:cs="Calibri"/>
          <w:color w:val="44546A"/>
        </w:rPr>
        <w:t>The organizations and government institutions break the silos and forge collaboration to scale and accelerate the development aspirations.</w:t>
      </w:r>
    </w:p>
    <w:p w14:paraId="70F019EE" w14:textId="77777777" w:rsidR="005216DB" w:rsidRDefault="005216DB" w:rsidP="005216DB">
      <w:pPr>
        <w:shd w:val="clear" w:color="auto" w:fill="FFFFFF" w:themeFill="background1"/>
        <w:spacing w:after="0" w:line="240" w:lineRule="auto"/>
        <w:ind w:left="-360"/>
        <w:rPr>
          <w:rFonts w:ascii="Calibri" w:eastAsia="Times New Roman" w:hAnsi="Calibri" w:cs="Calibri"/>
          <w:color w:val="44546A"/>
        </w:rPr>
      </w:pPr>
    </w:p>
    <w:p w14:paraId="713EBC6C" w14:textId="77777777" w:rsidR="00CD129A" w:rsidRPr="00CD129A" w:rsidRDefault="00CD129A" w:rsidP="00A42020">
      <w:pPr>
        <w:shd w:val="clear" w:color="auto" w:fill="FFFFFF" w:themeFill="background1"/>
        <w:spacing w:after="0" w:line="240" w:lineRule="auto"/>
        <w:ind w:left="-180" w:hanging="180"/>
        <w:rPr>
          <w:rFonts w:ascii="Calibri" w:eastAsia="Times New Roman" w:hAnsi="Calibri" w:cs="Calibri"/>
          <w:color w:val="44546A"/>
        </w:rPr>
      </w:pPr>
    </w:p>
    <w:p w14:paraId="43207681" w14:textId="7DF1A8C4" w:rsidR="006D3B97" w:rsidRPr="00A42020" w:rsidRDefault="00834F29" w:rsidP="003D39DE">
      <w:pPr>
        <w:shd w:val="clear" w:color="auto" w:fill="D9E2F3" w:themeFill="accent1" w:themeFillTint="33"/>
        <w:spacing w:after="0" w:line="240" w:lineRule="auto"/>
        <w:ind w:left="-180" w:hanging="180"/>
        <w:rPr>
          <w:rFonts w:ascii="Calibri" w:eastAsia="Times New Roman" w:hAnsi="Calibri" w:cs="Calibri"/>
          <w:b/>
          <w:bCs/>
          <w:color w:val="44546A"/>
          <w:sz w:val="28"/>
          <w:szCs w:val="28"/>
        </w:rPr>
      </w:pPr>
      <w:r w:rsidRPr="00A42020">
        <w:rPr>
          <w:rFonts w:ascii="Calibri" w:eastAsia="Times New Roman" w:hAnsi="Calibri" w:cs="Calibri"/>
          <w:b/>
          <w:bCs/>
          <w:color w:val="44546A"/>
          <w:sz w:val="28"/>
          <w:szCs w:val="28"/>
        </w:rPr>
        <w:t xml:space="preserve">Proposal overview and expected outputs </w:t>
      </w:r>
      <w:r w:rsidR="009F51CA">
        <w:rPr>
          <w:rFonts w:ascii="Calibri" w:eastAsia="Times New Roman" w:hAnsi="Calibri" w:cs="Calibri"/>
          <w:b/>
          <w:bCs/>
          <w:color w:val="44546A"/>
          <w:sz w:val="28"/>
          <w:szCs w:val="28"/>
        </w:rPr>
        <w:t xml:space="preserve">and </w:t>
      </w:r>
      <w:r w:rsidR="00323216">
        <w:rPr>
          <w:rFonts w:ascii="Calibri" w:eastAsia="Times New Roman" w:hAnsi="Calibri" w:cs="Calibri"/>
          <w:b/>
          <w:bCs/>
          <w:color w:val="44546A"/>
          <w:sz w:val="28"/>
          <w:szCs w:val="28"/>
        </w:rPr>
        <w:t>results</w:t>
      </w:r>
      <w:r w:rsidR="00323216" w:rsidRPr="00A42020">
        <w:rPr>
          <w:rFonts w:ascii="Calibri" w:eastAsia="Times New Roman" w:hAnsi="Calibri" w:cs="Calibri"/>
          <w:b/>
          <w:bCs/>
          <w:color w:val="44546A"/>
          <w:sz w:val="28"/>
          <w:szCs w:val="28"/>
        </w:rPr>
        <w:t xml:space="preserve"> </w:t>
      </w:r>
    </w:p>
    <w:p w14:paraId="667CCE5E" w14:textId="54167A70" w:rsidR="00927112" w:rsidRDefault="006967CE" w:rsidP="00E71DAB">
      <w:pPr>
        <w:shd w:val="clear" w:color="auto" w:fill="FFFFFF" w:themeFill="background1"/>
        <w:spacing w:after="0" w:line="240" w:lineRule="auto"/>
        <w:ind w:left="-180" w:hanging="180"/>
        <w:rPr>
          <w:rFonts w:ascii="Calibri" w:eastAsia="Times New Roman" w:hAnsi="Calibri" w:cs="Calibri"/>
          <w:color w:val="44546A"/>
        </w:rPr>
      </w:pPr>
      <w:r>
        <w:rPr>
          <w:rFonts w:ascii="Calibri" w:eastAsia="Times New Roman" w:hAnsi="Calibri" w:cs="Calibri"/>
          <w:color w:val="44546A"/>
        </w:rPr>
        <w:t xml:space="preserve"> </w:t>
      </w:r>
    </w:p>
    <w:p w14:paraId="7F4109DB" w14:textId="6C1339BB" w:rsidR="006967CE" w:rsidRDefault="006967CE" w:rsidP="006967CE">
      <w:pPr>
        <w:shd w:val="clear" w:color="auto" w:fill="FFFFFF" w:themeFill="background1"/>
        <w:spacing w:after="0" w:line="240" w:lineRule="auto"/>
        <w:ind w:left="-360"/>
        <w:rPr>
          <w:rFonts w:ascii="Calibri" w:eastAsia="Times New Roman" w:hAnsi="Calibri" w:cs="Calibri"/>
          <w:color w:val="44546A"/>
        </w:rPr>
      </w:pPr>
      <w:r>
        <w:rPr>
          <w:rFonts w:ascii="Calibri" w:eastAsia="Times New Roman" w:hAnsi="Calibri" w:cs="Calibri"/>
          <w:color w:val="44546A"/>
        </w:rPr>
        <w:t xml:space="preserve">The Incubation Funding will help develop a </w:t>
      </w:r>
      <w:r w:rsidR="00BD7399">
        <w:rPr>
          <w:rFonts w:ascii="Calibri" w:eastAsia="Times New Roman" w:hAnsi="Calibri" w:cs="Calibri"/>
          <w:color w:val="44546A"/>
        </w:rPr>
        <w:t>strategy</w:t>
      </w:r>
      <w:r>
        <w:rPr>
          <w:rFonts w:ascii="Calibri" w:eastAsia="Times New Roman" w:hAnsi="Calibri" w:cs="Calibri"/>
          <w:color w:val="44546A"/>
        </w:rPr>
        <w:t xml:space="preserve"> on prioritization for effective and efficient delivery of:</w:t>
      </w:r>
    </w:p>
    <w:p w14:paraId="7D242226" w14:textId="2EC25981" w:rsidR="006967CE" w:rsidRPr="00946410" w:rsidRDefault="006967CE" w:rsidP="006967CE">
      <w:pPr>
        <w:pStyle w:val="ListParagraph"/>
        <w:numPr>
          <w:ilvl w:val="0"/>
          <w:numId w:val="17"/>
        </w:numPr>
        <w:shd w:val="clear" w:color="auto" w:fill="FFFFFF" w:themeFill="background1"/>
        <w:spacing w:after="0" w:line="240" w:lineRule="auto"/>
        <w:rPr>
          <w:rFonts w:ascii="Calibri" w:eastAsia="Times New Roman" w:hAnsi="Calibri" w:cs="Calibri"/>
          <w:color w:val="44546A"/>
        </w:rPr>
      </w:pPr>
      <w:r w:rsidRPr="00946410">
        <w:rPr>
          <w:rFonts w:ascii="Calibri" w:eastAsia="Times New Roman" w:hAnsi="Calibri" w:cs="Calibri"/>
          <w:color w:val="44546A"/>
        </w:rPr>
        <w:t xml:space="preserve">Integrator role for </w:t>
      </w:r>
      <w:r w:rsidR="00314F6F">
        <w:rPr>
          <w:rFonts w:ascii="Calibri" w:eastAsia="Times New Roman" w:hAnsi="Calibri" w:cs="Calibri"/>
          <w:color w:val="44546A"/>
        </w:rPr>
        <w:t xml:space="preserve">a </w:t>
      </w:r>
      <w:r w:rsidRPr="00946410">
        <w:rPr>
          <w:rFonts w:ascii="Calibri" w:eastAsia="Times New Roman" w:hAnsi="Calibri" w:cs="Calibri"/>
          <w:color w:val="44546A"/>
        </w:rPr>
        <w:t>multilateral cooperation</w:t>
      </w:r>
      <w:r w:rsidR="00314F6F">
        <w:rPr>
          <w:rFonts w:ascii="Calibri" w:eastAsia="Times New Roman" w:hAnsi="Calibri" w:cs="Calibri"/>
          <w:color w:val="44546A"/>
        </w:rPr>
        <w:t>, especially among the UN Agencies</w:t>
      </w:r>
    </w:p>
    <w:p w14:paraId="6E3EF4ED" w14:textId="77777777" w:rsidR="006967CE" w:rsidRPr="00946410" w:rsidRDefault="006967CE" w:rsidP="006967CE">
      <w:pPr>
        <w:pStyle w:val="ListParagraph"/>
        <w:numPr>
          <w:ilvl w:val="0"/>
          <w:numId w:val="17"/>
        </w:numPr>
        <w:shd w:val="clear" w:color="auto" w:fill="FFFFFF" w:themeFill="background1"/>
        <w:spacing w:after="0" w:line="240" w:lineRule="auto"/>
        <w:rPr>
          <w:rFonts w:ascii="Calibri" w:eastAsia="Times New Roman" w:hAnsi="Calibri" w:cs="Calibri"/>
          <w:color w:val="44546A"/>
        </w:rPr>
      </w:pPr>
      <w:r w:rsidRPr="00946410">
        <w:rPr>
          <w:rFonts w:ascii="Calibri" w:eastAsia="Times New Roman" w:hAnsi="Calibri" w:cs="Calibri"/>
          <w:color w:val="44546A"/>
        </w:rPr>
        <w:t>SDG Prioritization and Localization</w:t>
      </w:r>
    </w:p>
    <w:p w14:paraId="0047224F" w14:textId="372B4C1F" w:rsidR="006967CE" w:rsidRDefault="006967CE" w:rsidP="006967CE">
      <w:pPr>
        <w:pStyle w:val="ListParagraph"/>
        <w:numPr>
          <w:ilvl w:val="0"/>
          <w:numId w:val="17"/>
        </w:numPr>
        <w:shd w:val="clear" w:color="auto" w:fill="FFFFFF" w:themeFill="background1"/>
        <w:spacing w:after="0" w:line="240" w:lineRule="auto"/>
        <w:rPr>
          <w:rFonts w:ascii="Calibri" w:eastAsia="Times New Roman" w:hAnsi="Calibri" w:cs="Calibri"/>
          <w:color w:val="44546A"/>
        </w:rPr>
      </w:pPr>
      <w:r>
        <w:rPr>
          <w:rFonts w:ascii="Calibri" w:eastAsia="Times New Roman" w:hAnsi="Calibri" w:cs="Calibri"/>
          <w:color w:val="44546A"/>
        </w:rPr>
        <w:t xml:space="preserve">SDG Impact Investment for </w:t>
      </w:r>
      <w:r w:rsidRPr="00946410">
        <w:rPr>
          <w:rFonts w:ascii="Calibri" w:eastAsia="Times New Roman" w:hAnsi="Calibri" w:cs="Calibri"/>
          <w:color w:val="44546A"/>
        </w:rPr>
        <w:t xml:space="preserve">Local Development </w:t>
      </w:r>
    </w:p>
    <w:p w14:paraId="131402AD" w14:textId="1CAEBC2A" w:rsidR="0087375D" w:rsidRDefault="0087375D" w:rsidP="006967CE">
      <w:pPr>
        <w:pStyle w:val="ListParagraph"/>
        <w:numPr>
          <w:ilvl w:val="0"/>
          <w:numId w:val="17"/>
        </w:numPr>
        <w:shd w:val="clear" w:color="auto" w:fill="FFFFFF" w:themeFill="background1"/>
        <w:spacing w:after="0" w:line="240" w:lineRule="auto"/>
        <w:rPr>
          <w:rFonts w:ascii="Calibri" w:eastAsia="Times New Roman" w:hAnsi="Calibri" w:cs="Calibri"/>
          <w:color w:val="44546A"/>
        </w:rPr>
      </w:pPr>
      <w:r>
        <w:rPr>
          <w:rFonts w:ascii="Calibri" w:eastAsia="Times New Roman" w:hAnsi="Calibri" w:cs="Calibri"/>
          <w:color w:val="44546A"/>
        </w:rPr>
        <w:t>Digital</w:t>
      </w:r>
      <w:r w:rsidR="005524F5">
        <w:rPr>
          <w:rFonts w:ascii="Calibri" w:eastAsia="Times New Roman" w:hAnsi="Calibri" w:cs="Calibri"/>
          <w:color w:val="44546A"/>
        </w:rPr>
        <w:t xml:space="preserve"> transition for transformative governance</w:t>
      </w:r>
    </w:p>
    <w:p w14:paraId="43FBEE11" w14:textId="77777777" w:rsidR="006967CE" w:rsidRDefault="006967CE" w:rsidP="006967CE">
      <w:pPr>
        <w:pStyle w:val="ListParagraph"/>
        <w:shd w:val="clear" w:color="auto" w:fill="FFFFFF" w:themeFill="background1"/>
        <w:spacing w:after="0" w:line="240" w:lineRule="auto"/>
        <w:ind w:left="-284"/>
        <w:jc w:val="both"/>
        <w:rPr>
          <w:rFonts w:ascii="Calibri" w:eastAsia="Times New Roman" w:hAnsi="Calibri" w:cs="Calibri"/>
          <w:color w:val="44546A"/>
        </w:rPr>
      </w:pPr>
      <w:r w:rsidRPr="00946410">
        <w:rPr>
          <w:rFonts w:ascii="Calibri" w:eastAsia="Times New Roman" w:hAnsi="Calibri" w:cs="Calibri"/>
          <w:color w:val="44546A"/>
        </w:rPr>
        <w:t>through a systems approach</w:t>
      </w:r>
      <w:r>
        <w:rPr>
          <w:rFonts w:ascii="Calibri" w:eastAsia="Times New Roman" w:hAnsi="Calibri" w:cs="Calibri"/>
          <w:color w:val="44546A"/>
        </w:rPr>
        <w:t xml:space="preserve"> to deliver an integrated service delivery mechanism for the regional administrations. </w:t>
      </w:r>
    </w:p>
    <w:p w14:paraId="32E8D2F3" w14:textId="77777777" w:rsidR="006967CE" w:rsidRDefault="006967CE" w:rsidP="006967CE">
      <w:pPr>
        <w:pStyle w:val="ListParagraph"/>
        <w:shd w:val="clear" w:color="auto" w:fill="FFFFFF" w:themeFill="background1"/>
        <w:spacing w:after="0" w:line="240" w:lineRule="auto"/>
        <w:ind w:left="-284"/>
        <w:rPr>
          <w:rFonts w:ascii="Calibri" w:eastAsia="Times New Roman" w:hAnsi="Calibri" w:cs="Calibri"/>
          <w:color w:val="44546A"/>
        </w:rPr>
      </w:pPr>
    </w:p>
    <w:p w14:paraId="28F19529" w14:textId="5B7F8197" w:rsidR="006967CE" w:rsidRDefault="006967CE" w:rsidP="006967CE">
      <w:pPr>
        <w:pStyle w:val="ListParagraph"/>
        <w:shd w:val="clear" w:color="auto" w:fill="FFFFFF" w:themeFill="background1"/>
        <w:spacing w:after="0" w:line="240" w:lineRule="auto"/>
        <w:ind w:left="-284"/>
        <w:jc w:val="both"/>
        <w:rPr>
          <w:rFonts w:ascii="Calibri" w:eastAsia="Times New Roman" w:hAnsi="Calibri" w:cs="Calibri"/>
          <w:color w:val="44546A"/>
        </w:rPr>
      </w:pPr>
      <w:r>
        <w:rPr>
          <w:rFonts w:ascii="Calibri" w:eastAsia="Times New Roman" w:hAnsi="Calibri" w:cs="Calibri"/>
          <w:color w:val="44546A"/>
        </w:rPr>
        <w:t xml:space="preserve">The </w:t>
      </w:r>
      <w:r w:rsidR="00BD7399">
        <w:rPr>
          <w:rFonts w:ascii="Calibri" w:eastAsia="Times New Roman" w:hAnsi="Calibri" w:cs="Calibri"/>
          <w:color w:val="44546A"/>
        </w:rPr>
        <w:t>strategy</w:t>
      </w:r>
      <w:r>
        <w:rPr>
          <w:rFonts w:ascii="Calibri" w:eastAsia="Times New Roman" w:hAnsi="Calibri" w:cs="Calibri"/>
          <w:color w:val="44546A"/>
        </w:rPr>
        <w:t xml:space="preserve"> will include a costed action plan, analysis and implementation strategies for the priority development financing projects identified by the National Development Plan at the regional level, thereby, providing opportunities for partnerships and resource mobilization for projects that address complex and dynamic development challenges in Djibouti. </w:t>
      </w:r>
    </w:p>
    <w:p w14:paraId="2856A705" w14:textId="77777777" w:rsidR="00314F6F" w:rsidRDefault="00314F6F" w:rsidP="006967CE">
      <w:pPr>
        <w:pStyle w:val="ListParagraph"/>
        <w:shd w:val="clear" w:color="auto" w:fill="FFFFFF" w:themeFill="background1"/>
        <w:spacing w:after="0" w:line="240" w:lineRule="auto"/>
        <w:ind w:left="-284"/>
        <w:jc w:val="both"/>
        <w:rPr>
          <w:rFonts w:ascii="Calibri" w:eastAsia="Times New Roman" w:hAnsi="Calibri" w:cs="Calibri"/>
          <w:color w:val="44546A"/>
        </w:rPr>
      </w:pPr>
    </w:p>
    <w:p w14:paraId="3BF44CDA" w14:textId="682AA654" w:rsidR="006967CE" w:rsidRDefault="006967CE" w:rsidP="000F5BCA">
      <w:pPr>
        <w:shd w:val="clear" w:color="auto" w:fill="FFFFFF" w:themeFill="background1"/>
        <w:spacing w:after="0" w:line="240" w:lineRule="auto"/>
        <w:ind w:left="-284"/>
        <w:rPr>
          <w:rFonts w:ascii="Calibri" w:eastAsia="Times New Roman" w:hAnsi="Calibri" w:cs="Calibri"/>
          <w:color w:val="44546A"/>
        </w:rPr>
      </w:pPr>
      <w:r>
        <w:rPr>
          <w:rFonts w:ascii="Calibri" w:eastAsia="Times New Roman" w:hAnsi="Calibri" w:cs="Calibri"/>
          <w:color w:val="44546A"/>
        </w:rPr>
        <w:t>The Proposed project will have t</w:t>
      </w:r>
      <w:r w:rsidR="000F5BCA">
        <w:rPr>
          <w:rFonts w:ascii="Calibri" w:eastAsia="Times New Roman" w:hAnsi="Calibri" w:cs="Calibri"/>
          <w:color w:val="44546A"/>
        </w:rPr>
        <w:t>hree</w:t>
      </w:r>
      <w:r>
        <w:rPr>
          <w:rFonts w:ascii="Calibri" w:eastAsia="Times New Roman" w:hAnsi="Calibri" w:cs="Calibri"/>
          <w:color w:val="44546A"/>
        </w:rPr>
        <w:t xml:space="preserve"> </w:t>
      </w:r>
      <w:r w:rsidR="00BD7399">
        <w:rPr>
          <w:rFonts w:ascii="Calibri" w:eastAsia="Times New Roman" w:hAnsi="Calibri" w:cs="Calibri"/>
          <w:color w:val="44546A"/>
        </w:rPr>
        <w:t>key deliverables</w:t>
      </w:r>
      <w:r>
        <w:rPr>
          <w:rFonts w:ascii="Calibri" w:eastAsia="Times New Roman" w:hAnsi="Calibri" w:cs="Calibri"/>
          <w:color w:val="44546A"/>
        </w:rPr>
        <w:t xml:space="preserve">– a) </w:t>
      </w:r>
      <w:r w:rsidR="00281952">
        <w:rPr>
          <w:rFonts w:ascii="Calibri" w:eastAsia="Times New Roman" w:hAnsi="Calibri" w:cs="Calibri"/>
          <w:color w:val="44546A"/>
        </w:rPr>
        <w:t xml:space="preserve">Tools </w:t>
      </w:r>
      <w:r w:rsidR="00BD7399">
        <w:rPr>
          <w:rFonts w:ascii="Calibri" w:eastAsia="Times New Roman" w:hAnsi="Calibri" w:cs="Calibri"/>
          <w:color w:val="44546A"/>
        </w:rPr>
        <w:t>to create an</w:t>
      </w:r>
      <w:r w:rsidR="00281952">
        <w:rPr>
          <w:rFonts w:ascii="Calibri" w:eastAsia="Times New Roman" w:hAnsi="Calibri" w:cs="Calibri"/>
          <w:color w:val="44546A"/>
        </w:rPr>
        <w:t xml:space="preserve"> Enabling </w:t>
      </w:r>
      <w:r w:rsidR="000F5BCA">
        <w:rPr>
          <w:rFonts w:ascii="Calibri" w:eastAsia="Times New Roman" w:hAnsi="Calibri" w:cs="Calibri"/>
          <w:color w:val="44546A"/>
        </w:rPr>
        <w:t>Environment</w:t>
      </w:r>
      <w:r w:rsidR="00BD7399">
        <w:rPr>
          <w:rFonts w:ascii="Calibri" w:eastAsia="Times New Roman" w:hAnsi="Calibri" w:cs="Calibri"/>
          <w:color w:val="44546A"/>
        </w:rPr>
        <w:t>,</w:t>
      </w:r>
      <w:r w:rsidR="000F5BCA">
        <w:rPr>
          <w:rFonts w:ascii="Calibri" w:eastAsia="Times New Roman" w:hAnsi="Calibri" w:cs="Calibri"/>
          <w:color w:val="44546A"/>
        </w:rPr>
        <w:t xml:space="preserve"> b</w:t>
      </w:r>
      <w:r w:rsidR="00281952">
        <w:rPr>
          <w:rFonts w:ascii="Calibri" w:eastAsia="Times New Roman" w:hAnsi="Calibri" w:cs="Calibri"/>
          <w:color w:val="44546A"/>
        </w:rPr>
        <w:t>)</w:t>
      </w:r>
      <w:r w:rsidR="000F5BCA">
        <w:rPr>
          <w:rFonts w:ascii="Calibri" w:eastAsia="Times New Roman" w:hAnsi="Calibri" w:cs="Calibri"/>
          <w:color w:val="44546A"/>
        </w:rPr>
        <w:t xml:space="preserve"> </w:t>
      </w:r>
      <w:r w:rsidR="00BD7399">
        <w:rPr>
          <w:rFonts w:ascii="Calibri" w:eastAsia="Times New Roman" w:hAnsi="Calibri" w:cs="Calibri"/>
          <w:color w:val="44546A"/>
        </w:rPr>
        <w:t>Proposed Governance Structure and Service Delivery Mechanism, and</w:t>
      </w:r>
      <w:r w:rsidR="000F5BCA">
        <w:rPr>
          <w:rFonts w:ascii="Calibri" w:eastAsia="Times New Roman" w:hAnsi="Calibri" w:cs="Calibri"/>
          <w:color w:val="44546A"/>
        </w:rPr>
        <w:t xml:space="preserve"> c) Capacity Reinforcement </w:t>
      </w:r>
      <w:r w:rsidR="00BD7399">
        <w:rPr>
          <w:rFonts w:ascii="Calibri" w:eastAsia="Times New Roman" w:hAnsi="Calibri" w:cs="Calibri"/>
          <w:color w:val="44546A"/>
        </w:rPr>
        <w:t>Strategy to</w:t>
      </w:r>
      <w:r w:rsidR="000F5BCA">
        <w:rPr>
          <w:rFonts w:ascii="Calibri" w:eastAsia="Times New Roman" w:hAnsi="Calibri" w:cs="Calibri"/>
          <w:color w:val="44546A"/>
        </w:rPr>
        <w:t xml:space="preserve"> contribute towards systems change and transformative governance envisaged in the comprehensive project </w:t>
      </w:r>
      <w:r w:rsidR="00BD7399">
        <w:rPr>
          <w:rFonts w:ascii="Calibri" w:eastAsia="Times New Roman" w:hAnsi="Calibri" w:cs="Calibri"/>
          <w:color w:val="44546A"/>
        </w:rPr>
        <w:t>(estimated at USD 10 million) which is being developed</w:t>
      </w:r>
      <w:r w:rsidR="000F5BCA">
        <w:rPr>
          <w:rFonts w:ascii="Calibri" w:eastAsia="Times New Roman" w:hAnsi="Calibri" w:cs="Calibri"/>
          <w:color w:val="44546A"/>
        </w:rPr>
        <w:t xml:space="preserve">. These three project </w:t>
      </w:r>
      <w:r w:rsidR="00BD7399">
        <w:rPr>
          <w:rFonts w:ascii="Calibri" w:eastAsia="Times New Roman" w:hAnsi="Calibri" w:cs="Calibri"/>
          <w:color w:val="44546A"/>
        </w:rPr>
        <w:t>deliverables</w:t>
      </w:r>
      <w:r w:rsidR="000F5BCA">
        <w:rPr>
          <w:rFonts w:ascii="Calibri" w:eastAsia="Times New Roman" w:hAnsi="Calibri" w:cs="Calibri"/>
          <w:color w:val="44546A"/>
        </w:rPr>
        <w:t xml:space="preserve"> are organized into two Outputs.</w:t>
      </w:r>
    </w:p>
    <w:p w14:paraId="0573610D" w14:textId="77777777" w:rsidR="000F5BCA" w:rsidRDefault="000F5BCA" w:rsidP="000F5BCA">
      <w:pPr>
        <w:shd w:val="clear" w:color="auto" w:fill="FFFFFF" w:themeFill="background1"/>
        <w:spacing w:after="0" w:line="240" w:lineRule="auto"/>
        <w:ind w:left="-284"/>
        <w:rPr>
          <w:rFonts w:ascii="Calibri" w:eastAsia="Times New Roman" w:hAnsi="Calibri" w:cs="Calibri"/>
          <w:color w:val="44546A"/>
        </w:rPr>
      </w:pPr>
    </w:p>
    <w:p w14:paraId="1A9389FC" w14:textId="75E86DB0" w:rsidR="00F54584" w:rsidRDefault="000F5BCA" w:rsidP="000F5BCA">
      <w:pPr>
        <w:shd w:val="clear" w:color="auto" w:fill="FFFFFF" w:themeFill="background1"/>
        <w:spacing w:after="0" w:line="240" w:lineRule="auto"/>
        <w:ind w:left="-180" w:hanging="104"/>
        <w:rPr>
          <w:rFonts w:ascii="Calibri" w:eastAsia="Times New Roman" w:hAnsi="Calibri" w:cs="Calibri"/>
          <w:color w:val="44546A"/>
        </w:rPr>
      </w:pPr>
      <w:r>
        <w:rPr>
          <w:rFonts w:ascii="Calibri" w:eastAsia="Times New Roman" w:hAnsi="Calibri" w:cs="Calibri"/>
          <w:b/>
          <w:bCs/>
          <w:color w:val="44546A"/>
        </w:rPr>
        <w:t>Output 1</w:t>
      </w:r>
      <w:r w:rsidR="00F54584">
        <w:rPr>
          <w:rFonts w:ascii="Calibri" w:eastAsia="Times New Roman" w:hAnsi="Calibri" w:cs="Calibri"/>
          <w:color w:val="44546A"/>
        </w:rPr>
        <w:t xml:space="preserve">: </w:t>
      </w:r>
      <w:r w:rsidR="00F8052F" w:rsidRPr="000F5BCA">
        <w:rPr>
          <w:rFonts w:ascii="Calibri" w:eastAsia="Times New Roman" w:hAnsi="Calibri" w:cs="Calibri"/>
          <w:b/>
          <w:bCs/>
          <w:color w:val="44546A"/>
        </w:rPr>
        <w:t xml:space="preserve">Enabling </w:t>
      </w:r>
      <w:r w:rsidR="00BD7399">
        <w:rPr>
          <w:rFonts w:ascii="Calibri" w:eastAsia="Times New Roman" w:hAnsi="Calibri" w:cs="Calibri"/>
          <w:b/>
          <w:bCs/>
          <w:color w:val="44546A"/>
        </w:rPr>
        <w:t>T</w:t>
      </w:r>
      <w:r w:rsidR="00F736EA" w:rsidRPr="000F5BCA">
        <w:rPr>
          <w:rFonts w:ascii="Calibri" w:eastAsia="Times New Roman" w:hAnsi="Calibri" w:cs="Calibri"/>
          <w:b/>
          <w:bCs/>
          <w:color w:val="44546A"/>
        </w:rPr>
        <w:t xml:space="preserve">ransformative </w:t>
      </w:r>
      <w:r w:rsidR="00BD7399">
        <w:rPr>
          <w:rFonts w:ascii="Calibri" w:eastAsia="Times New Roman" w:hAnsi="Calibri" w:cs="Calibri"/>
          <w:b/>
          <w:bCs/>
          <w:color w:val="44546A"/>
        </w:rPr>
        <w:t>G</w:t>
      </w:r>
      <w:r w:rsidR="00F736EA" w:rsidRPr="000F5BCA">
        <w:rPr>
          <w:rFonts w:ascii="Calibri" w:eastAsia="Times New Roman" w:hAnsi="Calibri" w:cs="Calibri"/>
          <w:b/>
          <w:bCs/>
          <w:color w:val="44546A"/>
        </w:rPr>
        <w:t xml:space="preserve">overnance </w:t>
      </w:r>
      <w:r w:rsidR="00BD7399">
        <w:rPr>
          <w:rFonts w:ascii="Calibri" w:eastAsia="Times New Roman" w:hAnsi="Calibri" w:cs="Calibri"/>
          <w:b/>
          <w:bCs/>
          <w:color w:val="44546A"/>
        </w:rPr>
        <w:t>Mechanism Created</w:t>
      </w:r>
    </w:p>
    <w:p w14:paraId="0E1A8C27" w14:textId="7F89A0F3" w:rsidR="00BD7399" w:rsidRDefault="00BD7399" w:rsidP="00777006">
      <w:pPr>
        <w:numPr>
          <w:ilvl w:val="0"/>
          <w:numId w:val="7"/>
        </w:numPr>
        <w:shd w:val="clear" w:color="auto" w:fill="FFFFFF" w:themeFill="background1"/>
        <w:spacing w:after="0" w:line="240" w:lineRule="auto"/>
        <w:rPr>
          <w:rFonts w:ascii="Calibri" w:eastAsia="Times New Roman" w:hAnsi="Calibri" w:cs="Calibri"/>
          <w:color w:val="44546A"/>
        </w:rPr>
      </w:pPr>
      <w:r>
        <w:rPr>
          <w:rFonts w:ascii="Calibri" w:eastAsia="Times New Roman" w:hAnsi="Calibri" w:cs="Calibri"/>
          <w:color w:val="44546A"/>
        </w:rPr>
        <w:t xml:space="preserve">Develop </w:t>
      </w:r>
      <w:r w:rsidRPr="00BD7399">
        <w:rPr>
          <w:rFonts w:ascii="Calibri" w:eastAsia="Times New Roman" w:hAnsi="Calibri" w:cs="Calibri"/>
          <w:b/>
          <w:bCs/>
          <w:color w:val="44546A"/>
        </w:rPr>
        <w:t xml:space="preserve">a </w:t>
      </w:r>
      <w:r w:rsidR="00F21F62">
        <w:rPr>
          <w:rFonts w:ascii="Calibri" w:eastAsia="Times New Roman" w:hAnsi="Calibri" w:cs="Calibri"/>
          <w:b/>
          <w:bCs/>
          <w:color w:val="44546A"/>
        </w:rPr>
        <w:t xml:space="preserve">Regional </w:t>
      </w:r>
      <w:r w:rsidRPr="00BD7399">
        <w:rPr>
          <w:rFonts w:ascii="Calibri" w:eastAsia="Times New Roman" w:hAnsi="Calibri" w:cs="Calibri"/>
          <w:b/>
          <w:bCs/>
          <w:color w:val="44546A"/>
        </w:rPr>
        <w:t xml:space="preserve">digital </w:t>
      </w:r>
      <w:r>
        <w:rPr>
          <w:rFonts w:ascii="Calibri" w:eastAsia="Times New Roman" w:hAnsi="Calibri" w:cs="Calibri"/>
          <w:b/>
          <w:bCs/>
          <w:color w:val="44546A"/>
        </w:rPr>
        <w:t xml:space="preserve">database </w:t>
      </w:r>
      <w:r w:rsidRPr="00BD7399">
        <w:rPr>
          <w:rFonts w:ascii="Calibri" w:eastAsia="Times New Roman" w:hAnsi="Calibri" w:cs="Calibri"/>
          <w:b/>
          <w:bCs/>
          <w:color w:val="44546A"/>
        </w:rPr>
        <w:t>platform</w:t>
      </w:r>
      <w:r>
        <w:rPr>
          <w:rFonts w:ascii="Calibri" w:eastAsia="Times New Roman" w:hAnsi="Calibri" w:cs="Calibri"/>
          <w:color w:val="44546A"/>
        </w:rPr>
        <w:t xml:space="preserve"> to address the current challenges of data gaps by reinforcing existing data collection, analysis, sharing and utilization mechanisms among the government and development partners </w:t>
      </w:r>
      <w:r w:rsidR="00913CA6">
        <w:rPr>
          <w:rFonts w:ascii="Calibri" w:eastAsia="Times New Roman" w:hAnsi="Calibri" w:cs="Calibri"/>
          <w:color w:val="44546A"/>
        </w:rPr>
        <w:t>to support SDG localization process</w:t>
      </w:r>
    </w:p>
    <w:p w14:paraId="54D91243" w14:textId="30415899" w:rsidR="006A6DCF" w:rsidRDefault="006A6DCF" w:rsidP="006A6DCF">
      <w:pPr>
        <w:pStyle w:val="ListParagraph"/>
        <w:numPr>
          <w:ilvl w:val="0"/>
          <w:numId w:val="7"/>
        </w:numPr>
        <w:shd w:val="clear" w:color="auto" w:fill="FFFFFF" w:themeFill="background1"/>
        <w:rPr>
          <w:rFonts w:ascii="Calibri" w:eastAsia="Times New Roman" w:hAnsi="Calibri" w:cs="Calibri"/>
          <w:color w:val="44546A"/>
        </w:rPr>
      </w:pPr>
      <w:r w:rsidRPr="00425095">
        <w:rPr>
          <w:rFonts w:ascii="Calibri" w:eastAsia="Times New Roman" w:hAnsi="Calibri" w:cs="Calibri"/>
          <w:color w:val="44546A"/>
        </w:rPr>
        <w:t xml:space="preserve">Develop </w:t>
      </w:r>
      <w:r>
        <w:rPr>
          <w:rFonts w:ascii="Calibri" w:eastAsia="Times New Roman" w:hAnsi="Calibri" w:cs="Calibri"/>
          <w:color w:val="44546A"/>
        </w:rPr>
        <w:t xml:space="preserve">a </w:t>
      </w:r>
      <w:r w:rsidRPr="006A6DCF">
        <w:rPr>
          <w:rFonts w:ascii="Calibri" w:eastAsia="Times New Roman" w:hAnsi="Calibri" w:cs="Calibri"/>
          <w:b/>
          <w:bCs/>
          <w:color w:val="44546A"/>
        </w:rPr>
        <w:t>Costed Action Plan</w:t>
      </w:r>
      <w:r>
        <w:rPr>
          <w:rFonts w:ascii="Calibri" w:eastAsia="Times New Roman" w:hAnsi="Calibri" w:cs="Calibri"/>
          <w:color w:val="44546A"/>
        </w:rPr>
        <w:t xml:space="preserve"> for integration of the </w:t>
      </w:r>
      <w:r w:rsidRPr="006A6DCF">
        <w:rPr>
          <w:rFonts w:ascii="Calibri" w:eastAsia="Times New Roman" w:hAnsi="Calibri" w:cs="Calibri"/>
          <w:b/>
          <w:bCs/>
          <w:color w:val="44546A"/>
        </w:rPr>
        <w:t xml:space="preserve">Development Financing Tracking </w:t>
      </w:r>
      <w:r>
        <w:rPr>
          <w:rFonts w:ascii="Calibri" w:eastAsia="Times New Roman" w:hAnsi="Calibri" w:cs="Calibri"/>
          <w:b/>
          <w:bCs/>
          <w:color w:val="44546A"/>
        </w:rPr>
        <w:t xml:space="preserve">and Performance Management </w:t>
      </w:r>
      <w:r w:rsidRPr="006A6DCF">
        <w:rPr>
          <w:rFonts w:ascii="Calibri" w:eastAsia="Times New Roman" w:hAnsi="Calibri" w:cs="Calibri"/>
          <w:b/>
          <w:bCs/>
          <w:color w:val="44546A"/>
        </w:rPr>
        <w:t>System</w:t>
      </w:r>
      <w:r>
        <w:rPr>
          <w:rFonts w:ascii="Calibri" w:eastAsia="Times New Roman" w:hAnsi="Calibri" w:cs="Calibri"/>
          <w:b/>
          <w:bCs/>
          <w:color w:val="44546A"/>
        </w:rPr>
        <w:t xml:space="preserve"> </w:t>
      </w:r>
      <w:r w:rsidR="00986537">
        <w:rPr>
          <w:rFonts w:ascii="Calibri" w:eastAsia="Times New Roman" w:hAnsi="Calibri" w:cs="Calibri"/>
          <w:color w:val="44546A"/>
        </w:rPr>
        <w:t xml:space="preserve">(developed by the INFF) </w:t>
      </w:r>
      <w:r>
        <w:rPr>
          <w:rFonts w:ascii="Calibri" w:eastAsia="Times New Roman" w:hAnsi="Calibri" w:cs="Calibri"/>
          <w:color w:val="44546A"/>
        </w:rPr>
        <w:t>into Regional Development Plans aligned with Regional Development Plan Targets</w:t>
      </w:r>
      <w:r w:rsidR="00913CA6">
        <w:rPr>
          <w:rFonts w:ascii="Calibri" w:eastAsia="Times New Roman" w:hAnsi="Calibri" w:cs="Calibri"/>
          <w:color w:val="44546A"/>
        </w:rPr>
        <w:t xml:space="preserve"> aligned with the Monitoring and Evaluation Framework of the NDP</w:t>
      </w:r>
    </w:p>
    <w:p w14:paraId="710EB3A4" w14:textId="745C0D5D" w:rsidR="003A6182" w:rsidRPr="00F54584" w:rsidRDefault="007758B8" w:rsidP="00F54584">
      <w:pPr>
        <w:pStyle w:val="ListParagraph"/>
        <w:numPr>
          <w:ilvl w:val="0"/>
          <w:numId w:val="7"/>
        </w:numPr>
        <w:shd w:val="clear" w:color="auto" w:fill="FFFFFF" w:themeFill="background1"/>
        <w:spacing w:after="0" w:line="240" w:lineRule="auto"/>
        <w:rPr>
          <w:rFonts w:ascii="Calibri" w:eastAsia="Times New Roman" w:hAnsi="Calibri" w:cs="Calibri"/>
          <w:color w:val="44546A"/>
        </w:rPr>
      </w:pPr>
      <w:r w:rsidRPr="006A6DCF">
        <w:rPr>
          <w:rFonts w:ascii="Calibri" w:eastAsia="Times New Roman" w:hAnsi="Calibri" w:cs="Calibri"/>
          <w:b/>
          <w:bCs/>
          <w:color w:val="44546A"/>
        </w:rPr>
        <w:t xml:space="preserve">Pilot </w:t>
      </w:r>
      <w:r w:rsidR="006A6DCF">
        <w:rPr>
          <w:rFonts w:ascii="Calibri" w:eastAsia="Times New Roman" w:hAnsi="Calibri" w:cs="Calibri"/>
          <w:b/>
          <w:bCs/>
          <w:color w:val="44546A"/>
        </w:rPr>
        <w:t xml:space="preserve">a </w:t>
      </w:r>
      <w:r w:rsidR="006A6DCF" w:rsidRPr="006A6DCF">
        <w:rPr>
          <w:rFonts w:ascii="Calibri" w:eastAsia="Times New Roman" w:hAnsi="Calibri" w:cs="Calibri"/>
          <w:b/>
          <w:bCs/>
          <w:color w:val="44546A"/>
        </w:rPr>
        <w:t xml:space="preserve">governance </w:t>
      </w:r>
      <w:r w:rsidRPr="006A6DCF">
        <w:rPr>
          <w:rFonts w:ascii="Calibri" w:eastAsia="Times New Roman" w:hAnsi="Calibri" w:cs="Calibri"/>
          <w:b/>
          <w:bCs/>
          <w:color w:val="44546A"/>
        </w:rPr>
        <w:t>mechanism</w:t>
      </w:r>
      <w:r w:rsidR="006A6DCF">
        <w:rPr>
          <w:rFonts w:ascii="Calibri" w:eastAsia="Times New Roman" w:hAnsi="Calibri" w:cs="Calibri"/>
          <w:color w:val="44546A"/>
        </w:rPr>
        <w:t xml:space="preserve"> </w:t>
      </w:r>
      <w:r w:rsidR="005A03AB">
        <w:rPr>
          <w:rFonts w:ascii="Calibri" w:eastAsia="Times New Roman" w:hAnsi="Calibri" w:cs="Calibri"/>
          <w:color w:val="44546A"/>
        </w:rPr>
        <w:t xml:space="preserve">utilizing the data derived from the digital database and the </w:t>
      </w:r>
      <w:r w:rsidR="00E1234B">
        <w:rPr>
          <w:rFonts w:ascii="Calibri" w:eastAsia="Times New Roman" w:hAnsi="Calibri" w:cs="Calibri"/>
          <w:color w:val="44546A"/>
        </w:rPr>
        <w:t>priorities identified in the costed action plan of the Development Financing Tracking tools</w:t>
      </w:r>
      <w:r w:rsidR="00DE6F3A">
        <w:rPr>
          <w:rFonts w:ascii="Calibri" w:eastAsia="Times New Roman" w:hAnsi="Calibri" w:cs="Calibri"/>
          <w:color w:val="44546A"/>
        </w:rPr>
        <w:t xml:space="preserve">. This pilot </w:t>
      </w:r>
      <w:r w:rsidR="00DE6F3A">
        <w:rPr>
          <w:rFonts w:ascii="Calibri" w:eastAsia="Times New Roman" w:hAnsi="Calibri" w:cs="Calibri"/>
          <w:color w:val="44546A"/>
        </w:rPr>
        <w:lastRenderedPageBreak/>
        <w:t xml:space="preserve">governance mechanism </w:t>
      </w:r>
      <w:r w:rsidR="002D5279">
        <w:rPr>
          <w:rFonts w:ascii="Calibri" w:eastAsia="Times New Roman" w:hAnsi="Calibri" w:cs="Calibri"/>
          <w:color w:val="44546A"/>
        </w:rPr>
        <w:t xml:space="preserve">implemented in one region will be </w:t>
      </w:r>
      <w:r w:rsidR="00DB0FE5">
        <w:rPr>
          <w:rFonts w:ascii="Calibri" w:eastAsia="Times New Roman" w:hAnsi="Calibri" w:cs="Calibri"/>
          <w:color w:val="44546A"/>
        </w:rPr>
        <w:t>a demonstration of a mechanism of an</w:t>
      </w:r>
      <w:r w:rsidR="006A6DCF">
        <w:rPr>
          <w:rFonts w:ascii="Calibri" w:eastAsia="Times New Roman" w:hAnsi="Calibri" w:cs="Calibri"/>
          <w:color w:val="44546A"/>
        </w:rPr>
        <w:t xml:space="preserve"> integrated and</w:t>
      </w:r>
      <w:r>
        <w:rPr>
          <w:rFonts w:ascii="Calibri" w:eastAsia="Times New Roman" w:hAnsi="Calibri" w:cs="Calibri"/>
          <w:color w:val="44546A"/>
        </w:rPr>
        <w:t xml:space="preserve"> meaningful engagement with civil society organizations to ensure </w:t>
      </w:r>
      <w:r w:rsidR="006A6DCF">
        <w:rPr>
          <w:rFonts w:ascii="Calibri" w:eastAsia="Times New Roman" w:hAnsi="Calibri" w:cs="Calibri"/>
          <w:color w:val="44546A"/>
        </w:rPr>
        <w:t>integrated</w:t>
      </w:r>
      <w:r>
        <w:rPr>
          <w:rFonts w:ascii="Calibri" w:eastAsia="Times New Roman" w:hAnsi="Calibri" w:cs="Calibri"/>
          <w:color w:val="44546A"/>
        </w:rPr>
        <w:t xml:space="preserve"> and decentralized governance </w:t>
      </w:r>
    </w:p>
    <w:p w14:paraId="138AD29B" w14:textId="1D9362AB" w:rsidR="00F54584" w:rsidRDefault="000F5BCA" w:rsidP="00E71DAB">
      <w:pPr>
        <w:shd w:val="clear" w:color="auto" w:fill="FFFFFF" w:themeFill="background1"/>
        <w:spacing w:after="0" w:line="240" w:lineRule="auto"/>
        <w:ind w:left="-180" w:hanging="180"/>
        <w:rPr>
          <w:rFonts w:ascii="Calibri" w:eastAsia="Times New Roman" w:hAnsi="Calibri" w:cs="Calibri"/>
          <w:color w:val="44546A"/>
        </w:rPr>
      </w:pPr>
      <w:r>
        <w:rPr>
          <w:rFonts w:ascii="Calibri" w:eastAsia="Times New Roman" w:hAnsi="Calibri" w:cs="Calibri"/>
          <w:b/>
          <w:bCs/>
          <w:color w:val="44546A"/>
        </w:rPr>
        <w:t>Output 2:</w:t>
      </w:r>
      <w:r w:rsidR="00F54584">
        <w:rPr>
          <w:rFonts w:ascii="Calibri" w:eastAsia="Times New Roman" w:hAnsi="Calibri" w:cs="Calibri"/>
          <w:color w:val="44546A"/>
        </w:rPr>
        <w:t xml:space="preserve"> </w:t>
      </w:r>
      <w:r w:rsidR="007758B8">
        <w:rPr>
          <w:rFonts w:ascii="Calibri" w:eastAsia="Times New Roman" w:hAnsi="Calibri" w:cs="Calibri"/>
          <w:b/>
          <w:bCs/>
          <w:color w:val="44546A"/>
        </w:rPr>
        <w:t xml:space="preserve">Localizing SDGs </w:t>
      </w:r>
      <w:r w:rsidR="000610D1">
        <w:rPr>
          <w:rFonts w:ascii="Calibri" w:eastAsia="Times New Roman" w:hAnsi="Calibri" w:cs="Calibri"/>
          <w:b/>
          <w:bCs/>
          <w:color w:val="44546A"/>
        </w:rPr>
        <w:t xml:space="preserve">to Promote Integrated and Structural Transformation </w:t>
      </w:r>
      <w:r w:rsidR="000610D1">
        <w:rPr>
          <w:rFonts w:ascii="Calibri" w:eastAsia="Times New Roman" w:hAnsi="Calibri" w:cs="Calibri"/>
          <w:color w:val="44546A"/>
        </w:rPr>
        <w:t xml:space="preserve"> </w:t>
      </w:r>
    </w:p>
    <w:p w14:paraId="1B23EAB7" w14:textId="33CAC83E" w:rsidR="00913CA6" w:rsidRDefault="00913CA6" w:rsidP="0042694B">
      <w:pPr>
        <w:numPr>
          <w:ilvl w:val="0"/>
          <w:numId w:val="9"/>
        </w:numPr>
        <w:shd w:val="clear" w:color="auto" w:fill="FFFFFF" w:themeFill="background1"/>
        <w:spacing w:after="0" w:line="240" w:lineRule="auto"/>
        <w:rPr>
          <w:rFonts w:ascii="Calibri" w:eastAsia="Times New Roman" w:hAnsi="Calibri" w:cs="Calibri"/>
          <w:color w:val="44546A"/>
        </w:rPr>
      </w:pPr>
      <w:r>
        <w:rPr>
          <w:rFonts w:ascii="Calibri" w:eastAsia="Times New Roman" w:hAnsi="Calibri" w:cs="Calibri"/>
          <w:color w:val="44546A"/>
        </w:rPr>
        <w:t>Map the duties and responsibilities of the local and regional governments in the context of decentralization and pioneering SDG localization</w:t>
      </w:r>
      <w:r w:rsidR="00DB0FE5">
        <w:rPr>
          <w:rFonts w:ascii="Calibri" w:eastAsia="Times New Roman" w:hAnsi="Calibri" w:cs="Calibri"/>
          <w:color w:val="44546A"/>
        </w:rPr>
        <w:t xml:space="preserve">. </w:t>
      </w:r>
    </w:p>
    <w:p w14:paraId="323B0ACC" w14:textId="416D0A37" w:rsidR="0083160C" w:rsidRDefault="005421EE" w:rsidP="005421EE">
      <w:pPr>
        <w:numPr>
          <w:ilvl w:val="0"/>
          <w:numId w:val="9"/>
        </w:numPr>
        <w:shd w:val="clear" w:color="auto" w:fill="FFFFFF" w:themeFill="background1"/>
        <w:spacing w:after="0" w:line="240" w:lineRule="auto"/>
        <w:rPr>
          <w:rFonts w:ascii="Calibri" w:eastAsia="Times New Roman" w:hAnsi="Calibri" w:cs="Calibri"/>
          <w:color w:val="44546A"/>
        </w:rPr>
      </w:pPr>
      <w:r>
        <w:rPr>
          <w:rFonts w:ascii="Calibri" w:eastAsia="Times New Roman" w:hAnsi="Calibri" w:cs="Calibri"/>
          <w:color w:val="44546A"/>
        </w:rPr>
        <w:t xml:space="preserve">Support the Regional governments to identify the </w:t>
      </w:r>
      <w:r w:rsidRPr="006A6DCF">
        <w:rPr>
          <w:rFonts w:ascii="Calibri" w:eastAsia="Times New Roman" w:hAnsi="Calibri" w:cs="Calibri"/>
          <w:b/>
          <w:bCs/>
          <w:color w:val="44546A"/>
        </w:rPr>
        <w:t>priority SDGs</w:t>
      </w:r>
      <w:r w:rsidR="0083160C">
        <w:rPr>
          <w:rFonts w:ascii="Calibri" w:eastAsia="Times New Roman" w:hAnsi="Calibri" w:cs="Calibri"/>
          <w:b/>
          <w:bCs/>
          <w:color w:val="44546A"/>
        </w:rPr>
        <w:t xml:space="preserve"> and</w:t>
      </w:r>
      <w:r>
        <w:rPr>
          <w:rFonts w:ascii="Calibri" w:eastAsia="Times New Roman" w:hAnsi="Calibri" w:cs="Calibri"/>
          <w:color w:val="44546A"/>
        </w:rPr>
        <w:t xml:space="preserve"> </w:t>
      </w:r>
      <w:r w:rsidRPr="006A6DCF">
        <w:rPr>
          <w:rFonts w:ascii="Calibri" w:eastAsia="Times New Roman" w:hAnsi="Calibri" w:cs="Calibri"/>
          <w:b/>
          <w:bCs/>
          <w:color w:val="44546A"/>
        </w:rPr>
        <w:t>develop SDG Targets</w:t>
      </w:r>
      <w:r>
        <w:rPr>
          <w:rFonts w:ascii="Calibri" w:eastAsia="Times New Roman" w:hAnsi="Calibri" w:cs="Calibri"/>
          <w:color w:val="44546A"/>
        </w:rPr>
        <w:t xml:space="preserve"> for each </w:t>
      </w:r>
      <w:r w:rsidR="0083160C">
        <w:rPr>
          <w:rFonts w:ascii="Calibri" w:eastAsia="Times New Roman" w:hAnsi="Calibri" w:cs="Calibri"/>
          <w:color w:val="44546A"/>
        </w:rPr>
        <w:t>priority SDG,</w:t>
      </w:r>
      <w:r w:rsidR="0083160C" w:rsidRPr="0083160C">
        <w:rPr>
          <w:rFonts w:ascii="Calibri" w:eastAsia="Times New Roman" w:hAnsi="Calibri" w:cs="Calibri"/>
          <w:color w:val="44546A"/>
        </w:rPr>
        <w:t xml:space="preserve"> </w:t>
      </w:r>
      <w:r w:rsidR="0083160C">
        <w:rPr>
          <w:rFonts w:ascii="Calibri" w:eastAsia="Times New Roman" w:hAnsi="Calibri" w:cs="Calibri"/>
          <w:color w:val="44546A"/>
        </w:rPr>
        <w:t>with particular emphasis on SDG 1, 5 and 8</w:t>
      </w:r>
    </w:p>
    <w:p w14:paraId="4F3FD5FC" w14:textId="66083870" w:rsidR="005421EE" w:rsidRDefault="0083160C" w:rsidP="005421EE">
      <w:pPr>
        <w:numPr>
          <w:ilvl w:val="0"/>
          <w:numId w:val="9"/>
        </w:numPr>
        <w:shd w:val="clear" w:color="auto" w:fill="FFFFFF" w:themeFill="background1"/>
        <w:spacing w:after="0" w:line="240" w:lineRule="auto"/>
        <w:rPr>
          <w:rFonts w:ascii="Calibri" w:eastAsia="Times New Roman" w:hAnsi="Calibri" w:cs="Calibri"/>
          <w:color w:val="44546A"/>
        </w:rPr>
      </w:pPr>
      <w:r>
        <w:rPr>
          <w:rFonts w:ascii="Calibri" w:eastAsia="Times New Roman" w:hAnsi="Calibri" w:cs="Calibri"/>
          <w:b/>
          <w:bCs/>
          <w:color w:val="44546A"/>
        </w:rPr>
        <w:t>D</w:t>
      </w:r>
      <w:r w:rsidR="005421EE" w:rsidRPr="006A6DCF">
        <w:rPr>
          <w:rFonts w:ascii="Calibri" w:eastAsia="Times New Roman" w:hAnsi="Calibri" w:cs="Calibri"/>
          <w:b/>
          <w:bCs/>
          <w:color w:val="44546A"/>
        </w:rPr>
        <w:t>evelop an SDG acceleration plan</w:t>
      </w:r>
      <w:r w:rsidR="005421EE">
        <w:rPr>
          <w:rFonts w:ascii="Calibri" w:eastAsia="Times New Roman" w:hAnsi="Calibri" w:cs="Calibri"/>
          <w:color w:val="44546A"/>
        </w:rPr>
        <w:t xml:space="preserve"> for </w:t>
      </w:r>
      <w:r>
        <w:rPr>
          <w:rFonts w:ascii="Calibri" w:eastAsia="Times New Roman" w:hAnsi="Calibri" w:cs="Calibri"/>
          <w:color w:val="44546A"/>
        </w:rPr>
        <w:t>two regions (one in the North and one in the South)</w:t>
      </w:r>
      <w:r w:rsidR="005421EE">
        <w:rPr>
          <w:rFonts w:ascii="Calibri" w:eastAsia="Times New Roman" w:hAnsi="Calibri" w:cs="Calibri"/>
          <w:color w:val="44546A"/>
        </w:rPr>
        <w:t xml:space="preserve"> aligned with the Regional Development Plan</w:t>
      </w:r>
    </w:p>
    <w:p w14:paraId="03F25F1B" w14:textId="620877EE" w:rsidR="00913CA6" w:rsidRPr="0042694B" w:rsidRDefault="00913CA6" w:rsidP="00913CA6">
      <w:pPr>
        <w:numPr>
          <w:ilvl w:val="0"/>
          <w:numId w:val="9"/>
        </w:numPr>
        <w:shd w:val="clear" w:color="auto" w:fill="FFFFFF" w:themeFill="background1"/>
        <w:spacing w:after="0" w:line="240" w:lineRule="auto"/>
        <w:rPr>
          <w:rFonts w:ascii="Calibri" w:eastAsia="Times New Roman" w:hAnsi="Calibri" w:cs="Calibri"/>
          <w:color w:val="44546A"/>
        </w:rPr>
      </w:pPr>
      <w:r w:rsidRPr="0042694B">
        <w:rPr>
          <w:rFonts w:ascii="Calibri" w:eastAsia="Times New Roman" w:hAnsi="Calibri" w:cs="Calibri"/>
          <w:color w:val="44546A"/>
        </w:rPr>
        <w:t xml:space="preserve">Establish </w:t>
      </w:r>
      <w:r w:rsidRPr="000610D1">
        <w:rPr>
          <w:rFonts w:ascii="Calibri" w:eastAsia="Times New Roman" w:hAnsi="Calibri" w:cs="Calibri"/>
          <w:b/>
          <w:bCs/>
          <w:color w:val="44546A"/>
        </w:rPr>
        <w:t>physical and online SDG Investment Platform</w:t>
      </w:r>
      <w:r w:rsidRPr="0042694B">
        <w:rPr>
          <w:rFonts w:ascii="Calibri" w:eastAsia="Times New Roman" w:hAnsi="Calibri" w:cs="Calibri"/>
          <w:color w:val="44546A"/>
        </w:rPr>
        <w:t xml:space="preserve"> – an interface between public, private and development partners</w:t>
      </w:r>
      <w:r>
        <w:rPr>
          <w:rFonts w:ascii="Calibri" w:eastAsia="Times New Roman" w:hAnsi="Calibri" w:cs="Calibri"/>
          <w:color w:val="44546A"/>
        </w:rPr>
        <w:t xml:space="preserve"> –</w:t>
      </w:r>
      <w:r w:rsidRPr="0042694B">
        <w:rPr>
          <w:rFonts w:ascii="Calibri" w:eastAsia="Times New Roman" w:hAnsi="Calibri" w:cs="Calibri"/>
          <w:color w:val="44546A"/>
        </w:rPr>
        <w:t xml:space="preserve"> to facilitate SDG </w:t>
      </w:r>
      <w:r>
        <w:rPr>
          <w:rFonts w:ascii="Calibri" w:eastAsia="Times New Roman" w:hAnsi="Calibri" w:cs="Calibri"/>
          <w:color w:val="44546A"/>
        </w:rPr>
        <w:t>localization and SDG prioritization process</w:t>
      </w:r>
      <w:r w:rsidRPr="0042694B">
        <w:rPr>
          <w:rFonts w:ascii="Calibri" w:eastAsia="Times New Roman" w:hAnsi="Calibri" w:cs="Calibri"/>
          <w:color w:val="44546A"/>
        </w:rPr>
        <w:t xml:space="preserve"> at </w:t>
      </w:r>
      <w:r>
        <w:rPr>
          <w:rFonts w:ascii="Calibri" w:eastAsia="Times New Roman" w:hAnsi="Calibri" w:cs="Calibri"/>
          <w:color w:val="44546A"/>
        </w:rPr>
        <w:t xml:space="preserve">the </w:t>
      </w:r>
      <w:r w:rsidRPr="0042694B">
        <w:rPr>
          <w:rFonts w:ascii="Calibri" w:eastAsia="Times New Roman" w:hAnsi="Calibri" w:cs="Calibri"/>
          <w:color w:val="44546A"/>
        </w:rPr>
        <w:t>national and regional level</w:t>
      </w:r>
      <w:r w:rsidR="005710AC">
        <w:rPr>
          <w:rFonts w:ascii="Calibri" w:eastAsia="Times New Roman" w:hAnsi="Calibri" w:cs="Calibri"/>
          <w:color w:val="44546A"/>
        </w:rPr>
        <w:t xml:space="preserve">. The </w:t>
      </w:r>
      <w:r w:rsidR="00D73EF5">
        <w:rPr>
          <w:rFonts w:ascii="Calibri" w:eastAsia="Times New Roman" w:hAnsi="Calibri" w:cs="Calibri"/>
          <w:color w:val="44546A"/>
        </w:rPr>
        <w:t>investment areas will be based on the findings of the SDG Investor Map</w:t>
      </w:r>
    </w:p>
    <w:p w14:paraId="32F84C48" w14:textId="77777777" w:rsidR="00374DDA" w:rsidRPr="006A00F7" w:rsidRDefault="00374DDA" w:rsidP="00E71DAB">
      <w:pPr>
        <w:shd w:val="clear" w:color="auto" w:fill="FFFFFF" w:themeFill="background1"/>
        <w:spacing w:after="0" w:line="240" w:lineRule="auto"/>
        <w:ind w:left="-180" w:hanging="180"/>
        <w:rPr>
          <w:rFonts w:ascii="Calibri" w:eastAsia="Times New Roman" w:hAnsi="Calibri" w:cs="Calibri"/>
          <w:color w:val="44546A"/>
        </w:rPr>
      </w:pPr>
    </w:p>
    <w:p w14:paraId="48791810" w14:textId="689CE7FD" w:rsidR="00927112" w:rsidRPr="00A6146E" w:rsidRDefault="00927112" w:rsidP="00927112">
      <w:pPr>
        <w:shd w:val="clear" w:color="auto" w:fill="D9E2F3" w:themeFill="accent1" w:themeFillTint="33"/>
        <w:spacing w:after="0" w:line="240" w:lineRule="auto"/>
        <w:ind w:left="-180" w:hanging="180"/>
        <w:rPr>
          <w:rFonts w:ascii="Calibri" w:eastAsia="Times New Roman" w:hAnsi="Calibri" w:cs="Calibri"/>
          <w:b/>
          <w:bCs/>
          <w:color w:val="44546A"/>
          <w:sz w:val="28"/>
          <w:szCs w:val="28"/>
        </w:rPr>
      </w:pPr>
      <w:r>
        <w:rPr>
          <w:rFonts w:ascii="Calibri" w:eastAsia="Times New Roman" w:hAnsi="Calibri" w:cs="Calibri"/>
          <w:b/>
          <w:bCs/>
          <w:color w:val="44546A"/>
          <w:sz w:val="28"/>
          <w:szCs w:val="28"/>
        </w:rPr>
        <w:t>Results Framework</w:t>
      </w:r>
    </w:p>
    <w:p w14:paraId="5E7F908E" w14:textId="47CEAD5F" w:rsidR="00A42020" w:rsidRPr="005B2B8C" w:rsidRDefault="00A42020" w:rsidP="00A42020">
      <w:pPr>
        <w:shd w:val="clear" w:color="auto" w:fill="FFFFFF" w:themeFill="background1"/>
        <w:spacing w:after="0" w:line="240" w:lineRule="auto"/>
        <w:ind w:left="-180" w:hanging="180"/>
        <w:rPr>
          <w:rFonts w:ascii="Calibri" w:eastAsia="Times New Roman" w:hAnsi="Calibri" w:cs="Calibri"/>
          <w:color w:val="44546A"/>
        </w:rPr>
      </w:pPr>
    </w:p>
    <w:tbl>
      <w:tblPr>
        <w:tblStyle w:val="TableGrid"/>
        <w:tblW w:w="10349" w:type="dxa"/>
        <w:tblInd w:w="-431" w:type="dxa"/>
        <w:tblLook w:val="04A0" w:firstRow="1" w:lastRow="0" w:firstColumn="1" w:lastColumn="0" w:noHBand="0" w:noVBand="1"/>
      </w:tblPr>
      <w:tblGrid>
        <w:gridCol w:w="6522"/>
        <w:gridCol w:w="2610"/>
        <w:gridCol w:w="1217"/>
      </w:tblGrid>
      <w:tr w:rsidR="005B2B8C" w14:paraId="16BAAB14" w14:textId="77777777" w:rsidTr="000610D1">
        <w:tc>
          <w:tcPr>
            <w:tcW w:w="6522" w:type="dxa"/>
          </w:tcPr>
          <w:p w14:paraId="7AEC2B5F" w14:textId="56217906" w:rsidR="005B2B8C" w:rsidRPr="00AA47FD" w:rsidRDefault="00AA47FD" w:rsidP="00AA47FD">
            <w:pPr>
              <w:jc w:val="center"/>
              <w:rPr>
                <w:rFonts w:ascii="Calibri" w:eastAsia="Times New Roman" w:hAnsi="Calibri" w:cs="Calibri"/>
                <w:b/>
                <w:bCs/>
                <w:color w:val="44546A"/>
                <w:sz w:val="22"/>
                <w:szCs w:val="22"/>
              </w:rPr>
            </w:pPr>
            <w:r w:rsidRPr="00AA47FD">
              <w:rPr>
                <w:rFonts w:ascii="Calibri" w:eastAsia="Times New Roman" w:hAnsi="Calibri" w:cs="Calibri"/>
                <w:b/>
                <w:bCs/>
                <w:color w:val="44546A"/>
                <w:sz w:val="22"/>
                <w:szCs w:val="22"/>
              </w:rPr>
              <w:t>Indicator</w:t>
            </w:r>
          </w:p>
        </w:tc>
        <w:tc>
          <w:tcPr>
            <w:tcW w:w="2610" w:type="dxa"/>
          </w:tcPr>
          <w:p w14:paraId="5148C815" w14:textId="7BD89CE5" w:rsidR="005B2B8C" w:rsidRPr="00AA47FD" w:rsidRDefault="00AA47FD" w:rsidP="00AA47FD">
            <w:pPr>
              <w:jc w:val="center"/>
              <w:rPr>
                <w:rFonts w:ascii="Calibri" w:eastAsia="Times New Roman" w:hAnsi="Calibri" w:cs="Calibri"/>
                <w:b/>
                <w:bCs/>
                <w:color w:val="44546A"/>
                <w:sz w:val="22"/>
                <w:szCs w:val="22"/>
              </w:rPr>
            </w:pPr>
            <w:r w:rsidRPr="00AA47FD">
              <w:rPr>
                <w:rFonts w:ascii="Calibri" w:eastAsia="Times New Roman" w:hAnsi="Calibri" w:cs="Calibri"/>
                <w:b/>
                <w:bCs/>
                <w:color w:val="44546A"/>
                <w:sz w:val="22"/>
                <w:szCs w:val="22"/>
              </w:rPr>
              <w:t>Baseline</w:t>
            </w:r>
          </w:p>
        </w:tc>
        <w:tc>
          <w:tcPr>
            <w:tcW w:w="1217" w:type="dxa"/>
          </w:tcPr>
          <w:p w14:paraId="7030AF1C" w14:textId="238C71EF" w:rsidR="005B2B8C" w:rsidRPr="00AA47FD" w:rsidRDefault="00AA47FD" w:rsidP="00AA47FD">
            <w:pPr>
              <w:jc w:val="center"/>
              <w:rPr>
                <w:rFonts w:ascii="Calibri" w:eastAsia="Times New Roman" w:hAnsi="Calibri" w:cs="Calibri"/>
                <w:b/>
                <w:bCs/>
                <w:color w:val="44546A"/>
                <w:sz w:val="22"/>
                <w:szCs w:val="22"/>
              </w:rPr>
            </w:pPr>
            <w:r w:rsidRPr="00AA47FD">
              <w:rPr>
                <w:rFonts w:ascii="Calibri" w:eastAsia="Times New Roman" w:hAnsi="Calibri" w:cs="Calibri"/>
                <w:b/>
                <w:bCs/>
                <w:color w:val="44546A"/>
                <w:sz w:val="22"/>
                <w:szCs w:val="22"/>
              </w:rPr>
              <w:t>Target</w:t>
            </w:r>
          </w:p>
        </w:tc>
      </w:tr>
      <w:tr w:rsidR="005B2B8C" w14:paraId="19B1C78F" w14:textId="77777777" w:rsidTr="000610D1">
        <w:tc>
          <w:tcPr>
            <w:tcW w:w="6522" w:type="dxa"/>
          </w:tcPr>
          <w:p w14:paraId="1241D2F1" w14:textId="64805C45" w:rsidR="005B2B8C" w:rsidRDefault="000610D1" w:rsidP="000610D1">
            <w:pPr>
              <w:shd w:val="clear" w:color="auto" w:fill="FFFFFF" w:themeFill="background1"/>
              <w:rPr>
                <w:rFonts w:ascii="Calibri" w:eastAsia="Times New Roman" w:hAnsi="Calibri" w:cs="Calibri"/>
                <w:color w:val="44546A"/>
              </w:rPr>
            </w:pPr>
            <w:r w:rsidRPr="000610D1">
              <w:rPr>
                <w:rFonts w:ascii="Calibri" w:eastAsia="Times New Roman" w:hAnsi="Calibri" w:cs="Calibri"/>
                <w:color w:val="44546A"/>
              </w:rPr>
              <w:t>Digital database platform</w:t>
            </w:r>
            <w:r>
              <w:rPr>
                <w:rFonts w:ascii="Calibri" w:eastAsia="Times New Roman" w:hAnsi="Calibri" w:cs="Calibri"/>
                <w:color w:val="44546A"/>
              </w:rPr>
              <w:t xml:space="preserve"> to address the current challenges of data gaps</w:t>
            </w:r>
          </w:p>
        </w:tc>
        <w:tc>
          <w:tcPr>
            <w:tcW w:w="2610" w:type="dxa"/>
          </w:tcPr>
          <w:p w14:paraId="024635A1" w14:textId="1DFF5AB2" w:rsidR="005B2B8C" w:rsidRDefault="00201F1C" w:rsidP="00A42020">
            <w:pPr>
              <w:rPr>
                <w:rFonts w:ascii="Calibri" w:eastAsia="Times New Roman" w:hAnsi="Calibri" w:cs="Calibri"/>
                <w:color w:val="44546A"/>
              </w:rPr>
            </w:pPr>
            <w:r>
              <w:rPr>
                <w:rFonts w:ascii="Calibri" w:eastAsia="Times New Roman" w:hAnsi="Calibri" w:cs="Calibri"/>
                <w:color w:val="44546A"/>
              </w:rPr>
              <w:t>None</w:t>
            </w:r>
          </w:p>
        </w:tc>
        <w:tc>
          <w:tcPr>
            <w:tcW w:w="1217" w:type="dxa"/>
          </w:tcPr>
          <w:p w14:paraId="5A841F4E" w14:textId="6847149C" w:rsidR="005B2B8C" w:rsidRDefault="00201F1C" w:rsidP="00A42020">
            <w:pPr>
              <w:rPr>
                <w:rFonts w:ascii="Calibri" w:eastAsia="Times New Roman" w:hAnsi="Calibri" w:cs="Calibri"/>
                <w:color w:val="44546A"/>
              </w:rPr>
            </w:pPr>
            <w:r>
              <w:rPr>
                <w:rFonts w:ascii="Calibri" w:eastAsia="Times New Roman" w:hAnsi="Calibri" w:cs="Calibri"/>
                <w:color w:val="44546A"/>
              </w:rPr>
              <w:t>1</w:t>
            </w:r>
          </w:p>
        </w:tc>
      </w:tr>
      <w:tr w:rsidR="000610D1" w14:paraId="0CB331F0" w14:textId="77777777" w:rsidTr="000610D1">
        <w:tc>
          <w:tcPr>
            <w:tcW w:w="6522" w:type="dxa"/>
          </w:tcPr>
          <w:p w14:paraId="0FFA2CCF" w14:textId="17AFA767" w:rsidR="000610D1" w:rsidRPr="000610D1" w:rsidRDefault="000610D1" w:rsidP="000610D1">
            <w:pPr>
              <w:rPr>
                <w:rFonts w:ascii="Calibri" w:eastAsia="Times New Roman" w:hAnsi="Calibri" w:cs="Calibri"/>
                <w:color w:val="44546A"/>
              </w:rPr>
            </w:pPr>
            <w:r w:rsidRPr="000610D1">
              <w:rPr>
                <w:rFonts w:ascii="Calibri" w:eastAsia="Times New Roman" w:hAnsi="Calibri" w:cs="Calibri"/>
                <w:color w:val="44546A"/>
              </w:rPr>
              <w:t>Costed Action Plan for integration of the Development Financing Tracking and Performance Management System into Regional Development Plans</w:t>
            </w:r>
          </w:p>
        </w:tc>
        <w:tc>
          <w:tcPr>
            <w:tcW w:w="2610" w:type="dxa"/>
          </w:tcPr>
          <w:p w14:paraId="0B95C7B6" w14:textId="684E741D" w:rsidR="000610D1" w:rsidRDefault="000610D1" w:rsidP="000610D1">
            <w:pPr>
              <w:rPr>
                <w:rFonts w:ascii="Calibri" w:eastAsia="Times New Roman" w:hAnsi="Calibri" w:cs="Calibri"/>
                <w:color w:val="44546A"/>
              </w:rPr>
            </w:pPr>
            <w:r>
              <w:rPr>
                <w:rFonts w:ascii="Calibri" w:eastAsia="Times New Roman" w:hAnsi="Calibri" w:cs="Calibri"/>
                <w:color w:val="44546A"/>
              </w:rPr>
              <w:t>None</w:t>
            </w:r>
          </w:p>
        </w:tc>
        <w:tc>
          <w:tcPr>
            <w:tcW w:w="1217" w:type="dxa"/>
          </w:tcPr>
          <w:p w14:paraId="0C1B41AD" w14:textId="15B93CA3" w:rsidR="000610D1" w:rsidRDefault="000610D1" w:rsidP="000610D1">
            <w:pPr>
              <w:rPr>
                <w:rFonts w:ascii="Calibri" w:eastAsia="Times New Roman" w:hAnsi="Calibri" w:cs="Calibri"/>
                <w:color w:val="44546A"/>
              </w:rPr>
            </w:pPr>
            <w:r>
              <w:rPr>
                <w:rFonts w:ascii="Calibri" w:eastAsia="Times New Roman" w:hAnsi="Calibri" w:cs="Calibri"/>
                <w:color w:val="44546A"/>
              </w:rPr>
              <w:t>1</w:t>
            </w:r>
          </w:p>
        </w:tc>
      </w:tr>
      <w:tr w:rsidR="000610D1" w14:paraId="4434D248" w14:textId="77777777" w:rsidTr="000610D1">
        <w:tc>
          <w:tcPr>
            <w:tcW w:w="6522" w:type="dxa"/>
          </w:tcPr>
          <w:p w14:paraId="58269FF6" w14:textId="524F7686" w:rsidR="000610D1" w:rsidRPr="000610D1" w:rsidRDefault="000610D1" w:rsidP="000610D1">
            <w:pPr>
              <w:rPr>
                <w:rFonts w:ascii="Calibri" w:eastAsia="Times New Roman" w:hAnsi="Calibri" w:cs="Calibri"/>
                <w:color w:val="44546A"/>
              </w:rPr>
            </w:pPr>
            <w:r w:rsidRPr="000610D1">
              <w:rPr>
                <w:rFonts w:ascii="Calibri" w:eastAsia="Times New Roman" w:hAnsi="Calibri" w:cs="Calibri"/>
                <w:color w:val="44546A"/>
              </w:rPr>
              <w:t>Pilot a governance mechanism for integrated and decentralized governance</w:t>
            </w:r>
          </w:p>
        </w:tc>
        <w:tc>
          <w:tcPr>
            <w:tcW w:w="2610" w:type="dxa"/>
          </w:tcPr>
          <w:p w14:paraId="5CD39255" w14:textId="2502B528" w:rsidR="000610D1" w:rsidRDefault="000610D1" w:rsidP="000610D1">
            <w:pPr>
              <w:rPr>
                <w:rFonts w:ascii="Calibri" w:eastAsia="Times New Roman" w:hAnsi="Calibri" w:cs="Calibri"/>
                <w:color w:val="44546A"/>
              </w:rPr>
            </w:pPr>
            <w:r>
              <w:rPr>
                <w:rFonts w:ascii="Calibri" w:eastAsia="Times New Roman" w:hAnsi="Calibri" w:cs="Calibri"/>
                <w:color w:val="44546A"/>
              </w:rPr>
              <w:t>None</w:t>
            </w:r>
          </w:p>
        </w:tc>
        <w:tc>
          <w:tcPr>
            <w:tcW w:w="1217" w:type="dxa"/>
          </w:tcPr>
          <w:p w14:paraId="3BA1AB49" w14:textId="3CA1C4AB" w:rsidR="000610D1" w:rsidRDefault="000610D1" w:rsidP="000610D1">
            <w:pPr>
              <w:rPr>
                <w:rFonts w:ascii="Calibri" w:eastAsia="Times New Roman" w:hAnsi="Calibri" w:cs="Calibri"/>
                <w:color w:val="44546A"/>
              </w:rPr>
            </w:pPr>
            <w:r>
              <w:rPr>
                <w:rFonts w:ascii="Calibri" w:eastAsia="Times New Roman" w:hAnsi="Calibri" w:cs="Calibri"/>
                <w:color w:val="44546A"/>
              </w:rPr>
              <w:t>1</w:t>
            </w:r>
          </w:p>
        </w:tc>
      </w:tr>
      <w:tr w:rsidR="000610D1" w14:paraId="6D6EAD8D" w14:textId="77777777" w:rsidTr="000610D1">
        <w:tc>
          <w:tcPr>
            <w:tcW w:w="6522" w:type="dxa"/>
          </w:tcPr>
          <w:p w14:paraId="3B370FFE" w14:textId="276EF250" w:rsidR="000610D1" w:rsidRDefault="000610D1" w:rsidP="000610D1">
            <w:pPr>
              <w:shd w:val="clear" w:color="auto" w:fill="FFFFFF" w:themeFill="background1"/>
              <w:rPr>
                <w:rFonts w:ascii="Calibri" w:eastAsia="Times New Roman" w:hAnsi="Calibri" w:cs="Calibri"/>
                <w:color w:val="44546A"/>
              </w:rPr>
            </w:pPr>
            <w:r>
              <w:rPr>
                <w:rFonts w:ascii="Calibri" w:eastAsia="Times New Roman" w:hAnsi="Calibri" w:cs="Calibri"/>
                <w:color w:val="44546A"/>
              </w:rPr>
              <w:t xml:space="preserve">SDG Acceleration Plan for Priority SDGs for </w:t>
            </w:r>
            <w:r w:rsidR="004C4EE0">
              <w:rPr>
                <w:rFonts w:ascii="Calibri" w:eastAsia="Times New Roman" w:hAnsi="Calibri" w:cs="Calibri"/>
                <w:color w:val="44546A"/>
              </w:rPr>
              <w:t>two</w:t>
            </w:r>
            <w:r>
              <w:rPr>
                <w:rFonts w:ascii="Calibri" w:eastAsia="Times New Roman" w:hAnsi="Calibri" w:cs="Calibri"/>
                <w:color w:val="44546A"/>
              </w:rPr>
              <w:t xml:space="preserve"> region</w:t>
            </w:r>
            <w:r w:rsidR="004C4EE0">
              <w:rPr>
                <w:rFonts w:ascii="Calibri" w:eastAsia="Times New Roman" w:hAnsi="Calibri" w:cs="Calibri"/>
                <w:color w:val="44546A"/>
              </w:rPr>
              <w:t>s</w:t>
            </w:r>
          </w:p>
        </w:tc>
        <w:tc>
          <w:tcPr>
            <w:tcW w:w="2610" w:type="dxa"/>
          </w:tcPr>
          <w:p w14:paraId="4A6D62A8" w14:textId="3CAEE835" w:rsidR="000610D1" w:rsidRDefault="000610D1" w:rsidP="000610D1">
            <w:pPr>
              <w:rPr>
                <w:rFonts w:ascii="Calibri" w:eastAsia="Times New Roman" w:hAnsi="Calibri" w:cs="Calibri"/>
                <w:color w:val="44546A"/>
              </w:rPr>
            </w:pPr>
            <w:r>
              <w:rPr>
                <w:rFonts w:ascii="Calibri" w:eastAsia="Times New Roman" w:hAnsi="Calibri" w:cs="Calibri"/>
                <w:color w:val="44546A"/>
              </w:rPr>
              <w:t>None</w:t>
            </w:r>
          </w:p>
        </w:tc>
        <w:tc>
          <w:tcPr>
            <w:tcW w:w="1217" w:type="dxa"/>
          </w:tcPr>
          <w:p w14:paraId="616EA9A3" w14:textId="0E38412E" w:rsidR="000610D1" w:rsidRDefault="004C4EE0" w:rsidP="000610D1">
            <w:pPr>
              <w:rPr>
                <w:rFonts w:ascii="Calibri" w:eastAsia="Times New Roman" w:hAnsi="Calibri" w:cs="Calibri"/>
                <w:color w:val="44546A"/>
              </w:rPr>
            </w:pPr>
            <w:r>
              <w:rPr>
                <w:rFonts w:ascii="Calibri" w:eastAsia="Times New Roman" w:hAnsi="Calibri" w:cs="Calibri"/>
                <w:color w:val="44546A"/>
              </w:rPr>
              <w:t>2</w:t>
            </w:r>
          </w:p>
        </w:tc>
      </w:tr>
      <w:tr w:rsidR="000610D1" w14:paraId="5EFEF0D5" w14:textId="77777777" w:rsidTr="000610D1">
        <w:tc>
          <w:tcPr>
            <w:tcW w:w="6522" w:type="dxa"/>
          </w:tcPr>
          <w:p w14:paraId="1E1FB1CA" w14:textId="3388324F" w:rsidR="000610D1" w:rsidRDefault="000610D1" w:rsidP="000610D1">
            <w:pPr>
              <w:shd w:val="clear" w:color="auto" w:fill="FFFFFF" w:themeFill="background1"/>
              <w:rPr>
                <w:rFonts w:ascii="Calibri" w:eastAsia="Times New Roman" w:hAnsi="Calibri" w:cs="Calibri"/>
                <w:color w:val="44546A"/>
              </w:rPr>
            </w:pPr>
            <w:r>
              <w:rPr>
                <w:rFonts w:ascii="Calibri" w:eastAsia="Times New Roman" w:hAnsi="Calibri" w:cs="Calibri"/>
                <w:color w:val="44546A"/>
              </w:rPr>
              <w:t xml:space="preserve">Physical and online SDG investment platform operational </w:t>
            </w:r>
          </w:p>
        </w:tc>
        <w:tc>
          <w:tcPr>
            <w:tcW w:w="2610" w:type="dxa"/>
          </w:tcPr>
          <w:p w14:paraId="40F44F4D" w14:textId="633116C7" w:rsidR="000610D1" w:rsidRDefault="000610D1" w:rsidP="000610D1">
            <w:pPr>
              <w:rPr>
                <w:rFonts w:ascii="Calibri" w:eastAsia="Times New Roman" w:hAnsi="Calibri" w:cs="Calibri"/>
                <w:color w:val="44546A"/>
              </w:rPr>
            </w:pPr>
            <w:r>
              <w:rPr>
                <w:rFonts w:ascii="Calibri" w:eastAsia="Times New Roman" w:hAnsi="Calibri" w:cs="Calibri"/>
                <w:color w:val="44546A"/>
              </w:rPr>
              <w:t>None</w:t>
            </w:r>
          </w:p>
        </w:tc>
        <w:tc>
          <w:tcPr>
            <w:tcW w:w="1217" w:type="dxa"/>
          </w:tcPr>
          <w:p w14:paraId="77930A4C" w14:textId="6D43B405" w:rsidR="000610D1" w:rsidRDefault="000610D1" w:rsidP="000610D1">
            <w:pPr>
              <w:rPr>
                <w:rFonts w:ascii="Calibri" w:eastAsia="Times New Roman" w:hAnsi="Calibri" w:cs="Calibri"/>
                <w:color w:val="44546A"/>
              </w:rPr>
            </w:pPr>
            <w:r>
              <w:rPr>
                <w:rFonts w:ascii="Calibri" w:eastAsia="Times New Roman" w:hAnsi="Calibri" w:cs="Calibri"/>
                <w:color w:val="44546A"/>
              </w:rPr>
              <w:t>1</w:t>
            </w:r>
          </w:p>
        </w:tc>
      </w:tr>
    </w:tbl>
    <w:p w14:paraId="5EDDEE00" w14:textId="030063B3" w:rsidR="005B2B8C" w:rsidRPr="005B2B8C" w:rsidRDefault="005B2B8C" w:rsidP="00A42020">
      <w:pPr>
        <w:shd w:val="clear" w:color="auto" w:fill="FFFFFF" w:themeFill="background1"/>
        <w:spacing w:after="0" w:line="240" w:lineRule="auto"/>
        <w:ind w:left="-180" w:hanging="180"/>
        <w:rPr>
          <w:rFonts w:ascii="Calibri" w:eastAsia="Times New Roman" w:hAnsi="Calibri" w:cs="Calibri"/>
          <w:color w:val="44546A"/>
        </w:rPr>
      </w:pPr>
    </w:p>
    <w:p w14:paraId="6FCD1E4A" w14:textId="77777777" w:rsidR="00340EEF" w:rsidRPr="005B2B8C" w:rsidRDefault="00340EEF" w:rsidP="00A42020">
      <w:pPr>
        <w:shd w:val="clear" w:color="auto" w:fill="FFFFFF" w:themeFill="background1"/>
        <w:spacing w:after="0" w:line="240" w:lineRule="auto"/>
        <w:ind w:left="-180" w:hanging="180"/>
        <w:rPr>
          <w:rFonts w:ascii="Calibri" w:eastAsia="Times New Roman" w:hAnsi="Calibri" w:cs="Calibri"/>
          <w:color w:val="44546A"/>
        </w:rPr>
      </w:pPr>
    </w:p>
    <w:p w14:paraId="059F7C7F" w14:textId="43339B73" w:rsidR="009F1DDA" w:rsidRPr="00A42020" w:rsidRDefault="009F1DDA" w:rsidP="00A42020">
      <w:pPr>
        <w:shd w:val="clear" w:color="auto" w:fill="D9E2F3" w:themeFill="accent1" w:themeFillTint="33"/>
        <w:spacing w:after="0" w:line="240" w:lineRule="auto"/>
        <w:ind w:left="-180" w:hanging="180"/>
        <w:rPr>
          <w:rFonts w:ascii="Calibri" w:eastAsia="Times New Roman" w:hAnsi="Calibri" w:cs="Calibri"/>
          <w:b/>
          <w:bCs/>
          <w:color w:val="44546A"/>
          <w:sz w:val="28"/>
          <w:szCs w:val="28"/>
        </w:rPr>
      </w:pPr>
      <w:r w:rsidRPr="00A42020">
        <w:rPr>
          <w:rFonts w:ascii="Calibri" w:eastAsia="Times New Roman" w:hAnsi="Calibri" w:cs="Calibri"/>
          <w:b/>
          <w:bCs/>
          <w:color w:val="44546A"/>
          <w:sz w:val="28"/>
          <w:szCs w:val="28"/>
        </w:rPr>
        <w:t xml:space="preserve">Management arrangements </w:t>
      </w:r>
    </w:p>
    <w:p w14:paraId="010AA68D" w14:textId="2B0FFC6A" w:rsidR="00A42020" w:rsidRDefault="00A42020" w:rsidP="00A42020">
      <w:pPr>
        <w:shd w:val="clear" w:color="auto" w:fill="FFFFFF" w:themeFill="background1"/>
        <w:spacing w:after="0" w:line="240" w:lineRule="auto"/>
        <w:ind w:left="-180" w:hanging="180"/>
        <w:rPr>
          <w:rFonts w:ascii="Calibri" w:eastAsia="Times New Roman" w:hAnsi="Calibri" w:cs="Calibri"/>
          <w:b/>
          <w:bCs/>
          <w:color w:val="44546A"/>
          <w:sz w:val="28"/>
          <w:szCs w:val="28"/>
        </w:rPr>
      </w:pPr>
    </w:p>
    <w:p w14:paraId="1F5327FB" w14:textId="53785467" w:rsidR="00340EEF" w:rsidRPr="00F16ABF" w:rsidRDefault="0087375D" w:rsidP="000C21B7">
      <w:pPr>
        <w:ind w:left="-284"/>
        <w:jc w:val="both"/>
        <w:rPr>
          <w:rFonts w:ascii="Calibri" w:eastAsia="Times New Roman" w:hAnsi="Calibri" w:cs="Calibri"/>
          <w:color w:val="44546A"/>
        </w:rPr>
      </w:pPr>
      <w:r>
        <w:rPr>
          <w:rFonts w:ascii="Calibri" w:eastAsia="Times New Roman" w:hAnsi="Calibri" w:cs="Calibri"/>
          <w:color w:val="44546A"/>
        </w:rPr>
        <w:t>The Project will be implemented as an Engagement Facility directly by the UNDP</w:t>
      </w:r>
      <w:r w:rsidR="000B3280">
        <w:rPr>
          <w:rFonts w:ascii="Calibri" w:eastAsia="Times New Roman" w:hAnsi="Calibri" w:cs="Calibri"/>
          <w:color w:val="44546A"/>
        </w:rPr>
        <w:t xml:space="preserve"> </w:t>
      </w:r>
      <w:r w:rsidR="005E03D4">
        <w:rPr>
          <w:rFonts w:ascii="Calibri" w:eastAsia="Times New Roman" w:hAnsi="Calibri" w:cs="Calibri"/>
          <w:color w:val="44546A"/>
        </w:rPr>
        <w:t>for operational purposes</w:t>
      </w:r>
      <w:r>
        <w:rPr>
          <w:rFonts w:ascii="Calibri" w:eastAsia="Times New Roman" w:hAnsi="Calibri" w:cs="Calibri"/>
          <w:color w:val="44546A"/>
        </w:rPr>
        <w:t>.</w:t>
      </w:r>
      <w:r w:rsidR="005524F5">
        <w:rPr>
          <w:rFonts w:ascii="Calibri" w:eastAsia="Times New Roman" w:hAnsi="Calibri" w:cs="Calibri"/>
          <w:color w:val="44546A"/>
        </w:rPr>
        <w:t xml:space="preserve"> </w:t>
      </w:r>
      <w:r w:rsidR="000C21B7">
        <w:rPr>
          <w:rFonts w:ascii="Calibri" w:eastAsia="Times New Roman" w:hAnsi="Calibri" w:cs="Calibri"/>
          <w:color w:val="44546A"/>
        </w:rPr>
        <w:t>The proposed</w:t>
      </w:r>
      <w:r w:rsidR="005524F5">
        <w:rPr>
          <w:rFonts w:ascii="Calibri" w:eastAsia="Times New Roman" w:hAnsi="Calibri" w:cs="Calibri"/>
          <w:color w:val="44546A"/>
        </w:rPr>
        <w:t xml:space="preserve"> project will be integrated into the current Rising Djibouti portfolio</w:t>
      </w:r>
      <w:r w:rsidR="00B56EA9">
        <w:rPr>
          <w:rStyle w:val="FootnoteReference"/>
          <w:rFonts w:ascii="Calibri" w:eastAsia="Times New Roman" w:hAnsi="Calibri" w:cs="Calibri"/>
          <w:color w:val="44546A"/>
        </w:rPr>
        <w:footnoteReference w:id="1"/>
      </w:r>
      <w:r w:rsidR="005524F5">
        <w:rPr>
          <w:rFonts w:ascii="Calibri" w:eastAsia="Times New Roman" w:hAnsi="Calibri" w:cs="Calibri"/>
          <w:color w:val="44546A"/>
        </w:rPr>
        <w:t xml:space="preserve"> and will be managed by the existing project management structure. </w:t>
      </w:r>
      <w:r>
        <w:rPr>
          <w:rFonts w:ascii="Calibri" w:eastAsia="Times New Roman" w:hAnsi="Calibri" w:cs="Calibri"/>
          <w:color w:val="44546A"/>
        </w:rPr>
        <w:t xml:space="preserve"> </w:t>
      </w:r>
      <w:r w:rsidRPr="0087375D">
        <w:rPr>
          <w:rFonts w:ascii="Calibri" w:eastAsia="Times New Roman" w:hAnsi="Calibri" w:cs="Calibri"/>
          <w:color w:val="44546A"/>
        </w:rPr>
        <w:t>Ministry of Economy and Finance and In</w:t>
      </w:r>
      <w:r w:rsidR="000C21B7">
        <w:rPr>
          <w:rFonts w:ascii="Calibri" w:eastAsia="Times New Roman" w:hAnsi="Calibri" w:cs="Calibri"/>
          <w:color w:val="44546A"/>
        </w:rPr>
        <w:t>-</w:t>
      </w:r>
      <w:r w:rsidRPr="0087375D">
        <w:rPr>
          <w:rFonts w:ascii="Calibri" w:eastAsia="Times New Roman" w:hAnsi="Calibri" w:cs="Calibri"/>
          <w:color w:val="44546A"/>
        </w:rPr>
        <w:t>charge of Industries (MEFI) will be the key Implementing Partner</w:t>
      </w:r>
      <w:r>
        <w:rPr>
          <w:rFonts w:ascii="Calibri" w:eastAsia="Times New Roman" w:hAnsi="Calibri" w:cs="Calibri"/>
          <w:color w:val="44546A"/>
        </w:rPr>
        <w:t xml:space="preserve">. </w:t>
      </w:r>
      <w:r w:rsidRPr="0087375D">
        <w:rPr>
          <w:rFonts w:ascii="Calibri" w:eastAsia="Times New Roman" w:hAnsi="Calibri" w:cs="Calibri"/>
          <w:color w:val="44546A"/>
        </w:rPr>
        <w:t>Ministry of Decentralization</w:t>
      </w:r>
      <w:r>
        <w:rPr>
          <w:rFonts w:ascii="Calibri" w:eastAsia="Times New Roman" w:hAnsi="Calibri" w:cs="Calibri"/>
          <w:color w:val="44546A"/>
        </w:rPr>
        <w:t xml:space="preserve">, Ministry of Digital Economy and Innovation and the Regional Council of each region will be the key stakeholders of the project. </w:t>
      </w:r>
    </w:p>
    <w:p w14:paraId="15A2BEF4" w14:textId="77777777" w:rsidR="00340EEF" w:rsidRDefault="00340EEF" w:rsidP="00A42020">
      <w:pPr>
        <w:shd w:val="clear" w:color="auto" w:fill="FFFFFF" w:themeFill="background1"/>
        <w:spacing w:after="0" w:line="240" w:lineRule="auto"/>
        <w:ind w:left="-180" w:hanging="180"/>
        <w:rPr>
          <w:rFonts w:ascii="Calibri" w:eastAsia="Times New Roman" w:hAnsi="Calibri" w:cs="Calibri"/>
          <w:b/>
          <w:bCs/>
          <w:color w:val="44546A"/>
          <w:sz w:val="28"/>
          <w:szCs w:val="28"/>
        </w:rPr>
      </w:pPr>
    </w:p>
    <w:p w14:paraId="5277B6E7" w14:textId="2DDF6AB0" w:rsidR="009F1DDA" w:rsidRPr="00A42020" w:rsidRDefault="009F1DDA" w:rsidP="00A42020">
      <w:pPr>
        <w:shd w:val="clear" w:color="auto" w:fill="D9E2F3" w:themeFill="accent1" w:themeFillTint="33"/>
        <w:spacing w:after="0" w:line="240" w:lineRule="auto"/>
        <w:ind w:left="-180" w:hanging="180"/>
        <w:rPr>
          <w:rFonts w:ascii="Calibri" w:eastAsia="Times New Roman" w:hAnsi="Calibri" w:cs="Calibri"/>
          <w:b/>
          <w:bCs/>
          <w:color w:val="44546A"/>
          <w:sz w:val="28"/>
          <w:szCs w:val="28"/>
        </w:rPr>
      </w:pPr>
      <w:r w:rsidRPr="00A42020">
        <w:rPr>
          <w:rFonts w:ascii="Calibri" w:eastAsia="Times New Roman" w:hAnsi="Calibri" w:cs="Calibri"/>
          <w:b/>
          <w:bCs/>
          <w:color w:val="44546A"/>
          <w:sz w:val="28"/>
          <w:szCs w:val="28"/>
        </w:rPr>
        <w:t xml:space="preserve">Partnerships </w:t>
      </w:r>
    </w:p>
    <w:p w14:paraId="0069E69A" w14:textId="543187DF" w:rsidR="003E5811" w:rsidRPr="006A00F7" w:rsidRDefault="003E5811" w:rsidP="00E71DAB">
      <w:pPr>
        <w:shd w:val="clear" w:color="auto" w:fill="FFFFFF" w:themeFill="background1"/>
        <w:spacing w:after="0" w:line="240" w:lineRule="auto"/>
        <w:ind w:left="-180" w:hanging="180"/>
        <w:rPr>
          <w:rFonts w:ascii="Calibri" w:eastAsia="Times New Roman" w:hAnsi="Calibri" w:cs="Calibri"/>
          <w:color w:val="44546A"/>
        </w:rPr>
      </w:pPr>
    </w:p>
    <w:p w14:paraId="48A9D360" w14:textId="482C10D1" w:rsidR="00C84FFD" w:rsidRDefault="005524F5" w:rsidP="005524F5">
      <w:pPr>
        <w:shd w:val="clear" w:color="auto" w:fill="FFFFFF" w:themeFill="background1"/>
        <w:spacing w:after="0" w:line="240" w:lineRule="auto"/>
        <w:ind w:left="-284"/>
        <w:jc w:val="both"/>
        <w:rPr>
          <w:rFonts w:ascii="Calibri" w:eastAsia="Times New Roman" w:hAnsi="Calibri" w:cs="Calibri"/>
          <w:color w:val="44546A"/>
        </w:rPr>
      </w:pPr>
      <w:r>
        <w:rPr>
          <w:rFonts w:ascii="Calibri" w:eastAsia="Times New Roman" w:hAnsi="Calibri" w:cs="Calibri"/>
          <w:color w:val="44546A"/>
        </w:rPr>
        <w:t xml:space="preserve">MEFI, Ministry of Decentralization, Ministry of Digital Economy and Innovation and </w:t>
      </w:r>
      <w:r w:rsidR="00C84FFD" w:rsidRPr="00C84FFD">
        <w:rPr>
          <w:rFonts w:ascii="Calibri" w:eastAsia="Times New Roman" w:hAnsi="Calibri" w:cs="Calibri"/>
          <w:color w:val="44546A"/>
        </w:rPr>
        <w:t>Secretariat of State for Investment and Private Sector Development</w:t>
      </w:r>
      <w:r>
        <w:rPr>
          <w:rFonts w:ascii="Calibri" w:eastAsia="Times New Roman" w:hAnsi="Calibri" w:cs="Calibri"/>
          <w:color w:val="44546A"/>
        </w:rPr>
        <w:t xml:space="preserve"> will be the key national-level government partners. At the sub-national level, Regional Council and the Prefecture will be the key interlocutors to facilitate coordination among the partners supporting decentralized governance in Djibouti.  </w:t>
      </w:r>
    </w:p>
    <w:p w14:paraId="5D8E06C7" w14:textId="2CA6ECDE" w:rsidR="005524F5" w:rsidRDefault="005524F5" w:rsidP="005524F5">
      <w:pPr>
        <w:shd w:val="clear" w:color="auto" w:fill="FFFFFF" w:themeFill="background1"/>
        <w:spacing w:after="0" w:line="240" w:lineRule="auto"/>
        <w:ind w:left="-284"/>
        <w:jc w:val="both"/>
        <w:rPr>
          <w:rFonts w:ascii="Calibri" w:eastAsia="Times New Roman" w:hAnsi="Calibri" w:cs="Calibri"/>
          <w:color w:val="44546A"/>
        </w:rPr>
      </w:pPr>
    </w:p>
    <w:p w14:paraId="54837C9C" w14:textId="20D17424" w:rsidR="00BC10F2" w:rsidRDefault="00BC10F2" w:rsidP="00224187">
      <w:pPr>
        <w:shd w:val="clear" w:color="auto" w:fill="FFFFFF" w:themeFill="background1"/>
        <w:spacing w:after="0" w:line="240" w:lineRule="auto"/>
        <w:ind w:left="-284"/>
        <w:jc w:val="both"/>
        <w:rPr>
          <w:rFonts w:ascii="Calibri" w:eastAsia="Times New Roman" w:hAnsi="Calibri" w:cs="Calibri"/>
          <w:color w:val="44546A"/>
        </w:rPr>
      </w:pPr>
      <w:r>
        <w:rPr>
          <w:rFonts w:ascii="Calibri" w:eastAsia="Times New Roman" w:hAnsi="Calibri" w:cs="Calibri"/>
          <w:color w:val="44546A"/>
        </w:rPr>
        <w:t xml:space="preserve">UNDP was the lead technical agency supporting the government in developing NDP </w:t>
      </w:r>
      <w:proofErr w:type="gramStart"/>
      <w:r>
        <w:rPr>
          <w:rFonts w:ascii="Calibri" w:eastAsia="Times New Roman" w:hAnsi="Calibri" w:cs="Calibri"/>
          <w:color w:val="44546A"/>
        </w:rPr>
        <w:t>and also</w:t>
      </w:r>
      <w:proofErr w:type="gramEnd"/>
      <w:r>
        <w:rPr>
          <w:rFonts w:ascii="Calibri" w:eastAsia="Times New Roman" w:hAnsi="Calibri" w:cs="Calibri"/>
          <w:color w:val="44546A"/>
        </w:rPr>
        <w:t xml:space="preserve"> the </w:t>
      </w:r>
      <w:r w:rsidR="003E1C40">
        <w:rPr>
          <w:rFonts w:ascii="Calibri" w:eastAsia="Times New Roman" w:hAnsi="Calibri" w:cs="Calibri"/>
          <w:color w:val="44546A"/>
        </w:rPr>
        <w:t xml:space="preserve">post-COVID-19 Socio-economic recovery efforts. UNDP has successfully fulfilled its function as an integrator in these key strategic government interventions. In the context of decentralization, UNDP is well positioned based on the ongoing and past work on governance, </w:t>
      </w:r>
      <w:proofErr w:type="gramStart"/>
      <w:r w:rsidR="003E1C40">
        <w:rPr>
          <w:rFonts w:ascii="Calibri" w:eastAsia="Times New Roman" w:hAnsi="Calibri" w:cs="Calibri"/>
          <w:color w:val="44546A"/>
        </w:rPr>
        <w:t>livelihood</w:t>
      </w:r>
      <w:proofErr w:type="gramEnd"/>
      <w:r w:rsidR="003E1C40">
        <w:rPr>
          <w:rFonts w:ascii="Calibri" w:eastAsia="Times New Roman" w:hAnsi="Calibri" w:cs="Calibri"/>
          <w:color w:val="44546A"/>
        </w:rPr>
        <w:t xml:space="preserve"> and resilience-building to integrate UN efforts at the regional level. UNDP will also leverage its lead role in the UNCT under the </w:t>
      </w:r>
      <w:r w:rsidR="003E1C40" w:rsidRPr="001F1A5F">
        <w:rPr>
          <w:rFonts w:ascii="Calibri" w:eastAsia="Times New Roman" w:hAnsi="Calibri" w:cs="Calibri"/>
          <w:color w:val="44546A"/>
        </w:rPr>
        <w:t>United Nations Sustainable Development Cooperation Framework</w:t>
      </w:r>
      <w:r w:rsidR="003E1C40">
        <w:rPr>
          <w:rFonts w:ascii="Calibri" w:eastAsia="Times New Roman" w:hAnsi="Calibri" w:cs="Calibri"/>
          <w:color w:val="44546A"/>
        </w:rPr>
        <w:t xml:space="preserve"> </w:t>
      </w:r>
      <w:r w:rsidR="001F1A5F">
        <w:rPr>
          <w:rFonts w:ascii="Calibri" w:eastAsia="Times New Roman" w:hAnsi="Calibri" w:cs="Calibri"/>
          <w:color w:val="44546A"/>
        </w:rPr>
        <w:t>for the governance and inclusive livelihood pillars.</w:t>
      </w:r>
    </w:p>
    <w:p w14:paraId="6E9F2B80" w14:textId="77777777" w:rsidR="003E1C40" w:rsidRDefault="003E1C40" w:rsidP="00224187">
      <w:pPr>
        <w:shd w:val="clear" w:color="auto" w:fill="FFFFFF" w:themeFill="background1"/>
        <w:spacing w:after="0" w:line="240" w:lineRule="auto"/>
        <w:ind w:left="-284"/>
        <w:jc w:val="both"/>
        <w:rPr>
          <w:rFonts w:ascii="Calibri" w:eastAsia="Times New Roman" w:hAnsi="Calibri" w:cs="Calibri"/>
          <w:color w:val="44546A"/>
        </w:rPr>
      </w:pPr>
    </w:p>
    <w:p w14:paraId="47DDC8CD" w14:textId="6B54AD55" w:rsidR="000C21B7" w:rsidRDefault="005524F5" w:rsidP="00224187">
      <w:pPr>
        <w:shd w:val="clear" w:color="auto" w:fill="FFFFFF" w:themeFill="background1"/>
        <w:spacing w:after="0" w:line="240" w:lineRule="auto"/>
        <w:ind w:left="-284"/>
        <w:jc w:val="both"/>
        <w:rPr>
          <w:rFonts w:ascii="Calibri" w:eastAsia="Times New Roman" w:hAnsi="Calibri" w:cs="Calibri"/>
          <w:color w:val="44546A"/>
        </w:rPr>
      </w:pPr>
      <w:r w:rsidRPr="005524F5">
        <w:rPr>
          <w:rFonts w:ascii="Calibri" w:eastAsia="Times New Roman" w:hAnsi="Calibri" w:cs="Calibri"/>
          <w:color w:val="44546A"/>
        </w:rPr>
        <w:t xml:space="preserve">Expertise France, </w:t>
      </w:r>
      <w:proofErr w:type="spellStart"/>
      <w:r w:rsidRPr="005524F5">
        <w:rPr>
          <w:rFonts w:ascii="Calibri" w:eastAsia="Times New Roman" w:hAnsi="Calibri" w:cs="Calibri"/>
          <w:color w:val="44546A"/>
        </w:rPr>
        <w:t>Agence</w:t>
      </w:r>
      <w:proofErr w:type="spellEnd"/>
      <w:r w:rsidRPr="005524F5">
        <w:rPr>
          <w:rFonts w:ascii="Calibri" w:eastAsia="Times New Roman" w:hAnsi="Calibri" w:cs="Calibri"/>
          <w:color w:val="44546A"/>
        </w:rPr>
        <w:t xml:space="preserve"> </w:t>
      </w:r>
      <w:proofErr w:type="spellStart"/>
      <w:r w:rsidRPr="005524F5">
        <w:rPr>
          <w:rFonts w:ascii="Calibri" w:eastAsia="Times New Roman" w:hAnsi="Calibri" w:cs="Calibri"/>
          <w:color w:val="44546A"/>
        </w:rPr>
        <w:t>Française</w:t>
      </w:r>
      <w:proofErr w:type="spellEnd"/>
      <w:r w:rsidRPr="005524F5">
        <w:rPr>
          <w:rFonts w:ascii="Calibri" w:eastAsia="Times New Roman" w:hAnsi="Calibri" w:cs="Calibri"/>
          <w:color w:val="44546A"/>
        </w:rPr>
        <w:t xml:space="preserve"> de </w:t>
      </w:r>
      <w:proofErr w:type="spellStart"/>
      <w:r w:rsidRPr="005524F5">
        <w:rPr>
          <w:rFonts w:ascii="Calibri" w:eastAsia="Times New Roman" w:hAnsi="Calibri" w:cs="Calibri"/>
          <w:color w:val="44546A"/>
        </w:rPr>
        <w:t>Développement</w:t>
      </w:r>
      <w:proofErr w:type="spellEnd"/>
      <w:r w:rsidRPr="005524F5">
        <w:rPr>
          <w:rFonts w:ascii="Calibri" w:eastAsia="Times New Roman" w:hAnsi="Calibri" w:cs="Calibri"/>
          <w:color w:val="44546A"/>
        </w:rPr>
        <w:t>, USAID and the World Bank will be the key development partners</w:t>
      </w:r>
      <w:r>
        <w:rPr>
          <w:rFonts w:ascii="Calibri" w:eastAsia="Times New Roman" w:hAnsi="Calibri" w:cs="Calibri"/>
          <w:color w:val="44546A"/>
        </w:rPr>
        <w:t xml:space="preserve"> considering their existing engagement and contribution in decentralization and private sector engagement. </w:t>
      </w:r>
    </w:p>
    <w:p w14:paraId="2A8A7C02" w14:textId="1DC42262" w:rsidR="003E1C40" w:rsidRDefault="003E1C40" w:rsidP="00224187">
      <w:pPr>
        <w:shd w:val="clear" w:color="auto" w:fill="FFFFFF" w:themeFill="background1"/>
        <w:spacing w:after="0" w:line="240" w:lineRule="auto"/>
        <w:ind w:left="-284"/>
        <w:jc w:val="both"/>
        <w:rPr>
          <w:rFonts w:ascii="Calibri" w:eastAsia="Times New Roman" w:hAnsi="Calibri" w:cs="Calibri"/>
          <w:color w:val="44546A"/>
        </w:rPr>
      </w:pPr>
    </w:p>
    <w:p w14:paraId="0867D249" w14:textId="67E05146" w:rsidR="003E1C40" w:rsidRDefault="003E1C40" w:rsidP="00224187">
      <w:pPr>
        <w:shd w:val="clear" w:color="auto" w:fill="FFFFFF" w:themeFill="background1"/>
        <w:spacing w:after="0" w:line="240" w:lineRule="auto"/>
        <w:ind w:left="-284"/>
        <w:jc w:val="both"/>
        <w:rPr>
          <w:rFonts w:ascii="Calibri" w:eastAsia="Times New Roman" w:hAnsi="Calibri" w:cs="Calibri"/>
          <w:color w:val="44546A"/>
        </w:rPr>
      </w:pPr>
      <w:r>
        <w:rPr>
          <w:rFonts w:ascii="Calibri" w:eastAsia="Times New Roman" w:hAnsi="Calibri" w:cs="Calibri"/>
          <w:color w:val="44546A"/>
        </w:rPr>
        <w:t xml:space="preserve">In addition, UNDP CO will </w:t>
      </w:r>
      <w:r w:rsidR="00CA3FC2">
        <w:rPr>
          <w:rFonts w:ascii="Calibri" w:eastAsia="Times New Roman" w:hAnsi="Calibri" w:cs="Calibri"/>
          <w:color w:val="44546A"/>
        </w:rPr>
        <w:t xml:space="preserve">lean upon country offices in the region, particularly Malawi – role of CSOs in governance aspects and Botswana – policy coherence for effective implementation of the NDP and foster South-South cooperation. </w:t>
      </w:r>
    </w:p>
    <w:p w14:paraId="3D3E34F4" w14:textId="77777777" w:rsidR="006A00F7" w:rsidRDefault="006A00F7" w:rsidP="00E71DAB">
      <w:pPr>
        <w:shd w:val="clear" w:color="auto" w:fill="FFFFFF" w:themeFill="background1"/>
        <w:spacing w:after="0" w:line="240" w:lineRule="auto"/>
        <w:ind w:left="-180" w:hanging="180"/>
        <w:rPr>
          <w:rFonts w:ascii="Calibri" w:eastAsia="Times New Roman" w:hAnsi="Calibri" w:cs="Calibri"/>
          <w:b/>
          <w:bCs/>
          <w:color w:val="44546A"/>
          <w:sz w:val="28"/>
          <w:szCs w:val="28"/>
        </w:rPr>
      </w:pPr>
    </w:p>
    <w:p w14:paraId="7C25E489" w14:textId="54BD621D" w:rsidR="003E5811" w:rsidRPr="00A6146E" w:rsidRDefault="003E5811" w:rsidP="003E5811">
      <w:pPr>
        <w:shd w:val="clear" w:color="auto" w:fill="D9E2F3" w:themeFill="accent1" w:themeFillTint="33"/>
        <w:spacing w:after="0" w:line="240" w:lineRule="auto"/>
        <w:ind w:left="-180" w:hanging="180"/>
        <w:rPr>
          <w:rFonts w:ascii="Calibri" w:eastAsia="Times New Roman" w:hAnsi="Calibri" w:cs="Calibri"/>
          <w:b/>
          <w:bCs/>
          <w:color w:val="44546A"/>
          <w:sz w:val="28"/>
          <w:szCs w:val="28"/>
        </w:rPr>
      </w:pPr>
      <w:r>
        <w:rPr>
          <w:rFonts w:ascii="Calibri" w:eastAsia="Times New Roman" w:hAnsi="Calibri" w:cs="Calibri"/>
          <w:b/>
          <w:bCs/>
          <w:color w:val="44546A"/>
          <w:sz w:val="28"/>
          <w:szCs w:val="28"/>
        </w:rPr>
        <w:t>Communication and Outreach Plan</w:t>
      </w:r>
    </w:p>
    <w:p w14:paraId="00FCBF6D" w14:textId="16ACD66F" w:rsidR="00A42020" w:rsidRDefault="00A42020" w:rsidP="00A42020">
      <w:pPr>
        <w:shd w:val="clear" w:color="auto" w:fill="FFFFFF" w:themeFill="background1"/>
        <w:spacing w:after="0" w:line="240" w:lineRule="auto"/>
        <w:ind w:left="-180" w:hanging="180"/>
        <w:rPr>
          <w:rFonts w:ascii="Calibri" w:eastAsia="Times New Roman" w:hAnsi="Calibri" w:cs="Calibri"/>
          <w:color w:val="44546A"/>
        </w:rPr>
      </w:pPr>
    </w:p>
    <w:p w14:paraId="7B3521C3" w14:textId="44D487E5" w:rsidR="000B3280" w:rsidRDefault="0020446F" w:rsidP="00FC1322">
      <w:pPr>
        <w:shd w:val="clear" w:color="auto" w:fill="FFFFFF" w:themeFill="background1"/>
        <w:spacing w:after="0" w:line="240" w:lineRule="auto"/>
        <w:ind w:left="-284"/>
        <w:jc w:val="both"/>
        <w:rPr>
          <w:rFonts w:ascii="Calibri" w:eastAsia="Times New Roman" w:hAnsi="Calibri" w:cs="Calibri"/>
          <w:color w:val="44546A"/>
        </w:rPr>
      </w:pPr>
      <w:r>
        <w:rPr>
          <w:rFonts w:ascii="Calibri" w:eastAsia="Times New Roman" w:hAnsi="Calibri" w:cs="Calibri"/>
          <w:color w:val="44546A"/>
        </w:rPr>
        <w:t>The proposed project will be embedded within the existing Rising Djibouti Portfolio, which has been successful in creating a “brand” in Djibouti. The portfolio has a logo</w:t>
      </w:r>
      <w:r w:rsidR="00FC1322">
        <w:rPr>
          <w:rFonts w:ascii="Calibri" w:eastAsia="Times New Roman" w:hAnsi="Calibri" w:cs="Calibri"/>
          <w:color w:val="44546A"/>
        </w:rPr>
        <w:t xml:space="preserve"> that has been well received by the partners, the government at the </w:t>
      </w:r>
      <w:r w:rsidR="00060DBC">
        <w:rPr>
          <w:rFonts w:ascii="Calibri" w:eastAsia="Times New Roman" w:hAnsi="Calibri" w:cs="Calibri"/>
          <w:color w:val="44546A"/>
        </w:rPr>
        <w:t>national</w:t>
      </w:r>
      <w:r w:rsidR="00FC1322">
        <w:rPr>
          <w:rFonts w:ascii="Calibri" w:eastAsia="Times New Roman" w:hAnsi="Calibri" w:cs="Calibri"/>
          <w:color w:val="44546A"/>
        </w:rPr>
        <w:t xml:space="preserve"> and regional levels and the Djiboutian people. Each key event that marks the launching of a knowledge product, a process, or achievement follows three phases of communication approach – a) pre-event information dissemination through the social media outlets of the UNDP, partners, popular social media networks and the digital influencers; b) update feeds during the event; c) wrap-up information feed in the social media.</w:t>
      </w:r>
      <w:r w:rsidR="000B3280">
        <w:rPr>
          <w:rFonts w:ascii="Calibri" w:eastAsia="Times New Roman" w:hAnsi="Calibri" w:cs="Calibri"/>
          <w:color w:val="44546A"/>
        </w:rPr>
        <w:t xml:space="preserve"> </w:t>
      </w:r>
    </w:p>
    <w:p w14:paraId="6627841A" w14:textId="77777777" w:rsidR="000B3280" w:rsidRDefault="000B3280" w:rsidP="00FC1322">
      <w:pPr>
        <w:shd w:val="clear" w:color="auto" w:fill="FFFFFF" w:themeFill="background1"/>
        <w:spacing w:after="0" w:line="240" w:lineRule="auto"/>
        <w:ind w:left="-284"/>
        <w:jc w:val="both"/>
        <w:rPr>
          <w:rFonts w:ascii="Calibri" w:eastAsia="Times New Roman" w:hAnsi="Calibri" w:cs="Calibri"/>
          <w:color w:val="44546A"/>
        </w:rPr>
      </w:pPr>
    </w:p>
    <w:p w14:paraId="7C1667A8" w14:textId="405D269B" w:rsidR="00C616AD" w:rsidRDefault="00FC1322" w:rsidP="00FC1322">
      <w:pPr>
        <w:shd w:val="clear" w:color="auto" w:fill="FFFFFF" w:themeFill="background1"/>
        <w:spacing w:after="0" w:line="240" w:lineRule="auto"/>
        <w:ind w:left="-284"/>
        <w:jc w:val="both"/>
        <w:rPr>
          <w:rFonts w:ascii="Calibri" w:eastAsia="Times New Roman" w:hAnsi="Calibri" w:cs="Calibri"/>
          <w:color w:val="44546A"/>
        </w:rPr>
      </w:pPr>
      <w:r>
        <w:rPr>
          <w:rFonts w:ascii="Calibri" w:eastAsia="Times New Roman" w:hAnsi="Calibri" w:cs="Calibri"/>
          <w:color w:val="44546A"/>
        </w:rPr>
        <w:t xml:space="preserve">In addition, UNDP Communications Specialist provides regular updates to the UNCT Communications Team as well as the national media outlets. </w:t>
      </w:r>
      <w:r w:rsidR="000B3280">
        <w:rPr>
          <w:rFonts w:ascii="Calibri" w:eastAsia="Times New Roman" w:hAnsi="Calibri" w:cs="Calibri"/>
          <w:color w:val="44546A"/>
        </w:rPr>
        <w:t xml:space="preserve">This rigorous communication, outreach and advocacy approach has been successful in meeting and sometimes exceeding the anticipated visibility requirements. </w:t>
      </w:r>
      <w:r>
        <w:rPr>
          <w:rFonts w:ascii="Calibri" w:eastAsia="Times New Roman" w:hAnsi="Calibri" w:cs="Calibri"/>
          <w:color w:val="44546A"/>
        </w:rPr>
        <w:t>The proposed Incubation Fund project has several key tools and processes that the portfolio and CO communications team will</w:t>
      </w:r>
      <w:r w:rsidR="000B3280">
        <w:rPr>
          <w:rFonts w:ascii="Calibri" w:eastAsia="Times New Roman" w:hAnsi="Calibri" w:cs="Calibri"/>
          <w:color w:val="44546A"/>
        </w:rPr>
        <w:t xml:space="preserve"> exercise digital, audio-visual as well as print media for information dissemination and wider advocacy.  </w:t>
      </w:r>
      <w:r>
        <w:rPr>
          <w:rFonts w:ascii="Calibri" w:eastAsia="Times New Roman" w:hAnsi="Calibri" w:cs="Calibri"/>
          <w:color w:val="44546A"/>
        </w:rPr>
        <w:t xml:space="preserve"> </w:t>
      </w:r>
    </w:p>
    <w:p w14:paraId="7FAB0C4E" w14:textId="639AAFC0" w:rsidR="00AD43A9" w:rsidRPr="00AD43A9" w:rsidRDefault="00AD43A9" w:rsidP="00A42020">
      <w:pPr>
        <w:shd w:val="clear" w:color="auto" w:fill="FFFFFF" w:themeFill="background1"/>
        <w:spacing w:after="0" w:line="240" w:lineRule="auto"/>
        <w:ind w:left="-180" w:hanging="180"/>
        <w:rPr>
          <w:rFonts w:ascii="Calibri" w:eastAsia="Times New Roman" w:hAnsi="Calibri" w:cs="Calibri"/>
          <w:color w:val="44546A"/>
        </w:rPr>
      </w:pPr>
    </w:p>
    <w:p w14:paraId="37A393BC" w14:textId="5B0E046A" w:rsidR="00340EEF" w:rsidRPr="003F121A" w:rsidRDefault="009F1DDA" w:rsidP="003F121A">
      <w:pPr>
        <w:shd w:val="clear" w:color="auto" w:fill="D9E2F3" w:themeFill="accent1" w:themeFillTint="33"/>
        <w:spacing w:after="0" w:line="240" w:lineRule="auto"/>
        <w:ind w:left="-180" w:hanging="180"/>
        <w:rPr>
          <w:rFonts w:ascii="Calibri" w:eastAsia="Times New Roman" w:hAnsi="Calibri" w:cs="Calibri"/>
          <w:b/>
          <w:bCs/>
          <w:color w:val="44546A"/>
          <w:sz w:val="28"/>
          <w:szCs w:val="28"/>
        </w:rPr>
      </w:pPr>
      <w:r w:rsidRPr="00A42020">
        <w:rPr>
          <w:rFonts w:ascii="Calibri" w:eastAsia="Times New Roman" w:hAnsi="Calibri" w:cs="Calibri"/>
          <w:b/>
          <w:bCs/>
          <w:color w:val="44546A"/>
          <w:sz w:val="28"/>
          <w:szCs w:val="28"/>
        </w:rPr>
        <w:t>Complementarity with other funds</w:t>
      </w:r>
      <w:r w:rsidR="00D9579A">
        <w:rPr>
          <w:rFonts w:ascii="Calibri" w:eastAsia="Times New Roman" w:hAnsi="Calibri" w:cs="Calibri"/>
          <w:b/>
          <w:bCs/>
          <w:color w:val="44546A"/>
          <w:sz w:val="28"/>
          <w:szCs w:val="28"/>
        </w:rPr>
        <w:t>/projects</w:t>
      </w:r>
      <w:r w:rsidRPr="00A42020">
        <w:rPr>
          <w:rFonts w:ascii="Calibri" w:eastAsia="Times New Roman" w:hAnsi="Calibri" w:cs="Calibri"/>
          <w:b/>
          <w:bCs/>
          <w:color w:val="44546A"/>
          <w:sz w:val="28"/>
          <w:szCs w:val="28"/>
        </w:rPr>
        <w:t xml:space="preserve"> available </w:t>
      </w:r>
    </w:p>
    <w:p w14:paraId="4E90E026" w14:textId="3B58CCE4" w:rsidR="000B3280" w:rsidRDefault="00D401FC" w:rsidP="003F121A">
      <w:pPr>
        <w:spacing w:before="100" w:after="0" w:line="240" w:lineRule="auto"/>
        <w:ind w:left="-360"/>
        <w:jc w:val="both"/>
        <w:rPr>
          <w:rFonts w:eastAsiaTheme="minorEastAsia" w:cstheme="minorHAnsi"/>
        </w:rPr>
      </w:pPr>
      <w:r>
        <w:rPr>
          <w:rFonts w:eastAsiaTheme="minorEastAsia" w:cstheme="minorHAnsi"/>
        </w:rPr>
        <w:t>The proposed project builds upon the results and learnings of the recently closed projects, assessments and complements ongoing projects under the Rising Djibouti portfolio. F</w:t>
      </w:r>
      <w:r w:rsidR="002E0FBB">
        <w:rPr>
          <w:rFonts w:eastAsiaTheme="minorEastAsia" w:cstheme="minorHAnsi"/>
        </w:rPr>
        <w:t>ive</w:t>
      </w:r>
      <w:r>
        <w:rPr>
          <w:rFonts w:eastAsiaTheme="minorEastAsia" w:cstheme="minorHAnsi"/>
        </w:rPr>
        <w:t xml:space="preserve"> projects under the Rising Djibouti portfolio are directly aligned with the strategic objectives of this proposed project -</w:t>
      </w:r>
      <w:r w:rsidRPr="002E0FBB">
        <w:rPr>
          <w:rFonts w:eastAsiaTheme="minorEastAsia" w:cstheme="minorHAnsi"/>
          <w:b/>
          <w:bCs/>
        </w:rPr>
        <w:t>a)</w:t>
      </w:r>
      <w:r>
        <w:rPr>
          <w:rFonts w:eastAsiaTheme="minorEastAsia" w:cstheme="minorHAnsi"/>
        </w:rPr>
        <w:t xml:space="preserve"> Integrating Financing for SDGs, </w:t>
      </w:r>
      <w:r w:rsidRPr="002E0FBB">
        <w:rPr>
          <w:rFonts w:eastAsiaTheme="minorEastAsia" w:cstheme="minorHAnsi"/>
          <w:b/>
          <w:bCs/>
        </w:rPr>
        <w:t>b)</w:t>
      </w:r>
      <w:r w:rsidR="002E0FBB">
        <w:rPr>
          <w:rFonts w:eastAsiaTheme="minorEastAsia" w:cstheme="minorHAnsi"/>
        </w:rPr>
        <w:t xml:space="preserve"> </w:t>
      </w:r>
      <w:r>
        <w:rPr>
          <w:rFonts w:eastAsiaTheme="minorEastAsia" w:cstheme="minorHAnsi"/>
        </w:rPr>
        <w:t xml:space="preserve">Anti-Corruption and Civic Engagement, </w:t>
      </w:r>
      <w:r w:rsidRPr="002E0FBB">
        <w:rPr>
          <w:rFonts w:eastAsiaTheme="minorEastAsia" w:cstheme="minorHAnsi"/>
          <w:b/>
          <w:bCs/>
        </w:rPr>
        <w:t>c)</w:t>
      </w:r>
      <w:r>
        <w:rPr>
          <w:rFonts w:eastAsiaTheme="minorEastAsia" w:cstheme="minorHAnsi"/>
        </w:rPr>
        <w:t xml:space="preserve"> Community Resilience Initiative for Sustainable </w:t>
      </w:r>
      <w:r w:rsidR="001B11FF">
        <w:rPr>
          <w:rFonts w:eastAsiaTheme="minorEastAsia" w:cstheme="minorHAnsi"/>
        </w:rPr>
        <w:t>Peace, d</w:t>
      </w:r>
      <w:r w:rsidRPr="002E0FBB">
        <w:rPr>
          <w:rFonts w:eastAsiaTheme="minorEastAsia" w:cstheme="minorHAnsi"/>
          <w:b/>
          <w:bCs/>
        </w:rPr>
        <w:t>)</w:t>
      </w:r>
      <w:r>
        <w:rPr>
          <w:rFonts w:eastAsiaTheme="minorEastAsia" w:cstheme="minorHAnsi"/>
        </w:rPr>
        <w:t xml:space="preserve"> Enhancing Economic Resilience of Vulnerable SMEs in Djibouti </w:t>
      </w:r>
      <w:r w:rsidR="002E0FBB">
        <w:rPr>
          <w:rFonts w:eastAsiaTheme="minorEastAsia" w:cstheme="minorHAnsi"/>
        </w:rPr>
        <w:t xml:space="preserve">and </w:t>
      </w:r>
      <w:proofErr w:type="gramStart"/>
      <w:r w:rsidR="002E0FBB" w:rsidRPr="002E0FBB">
        <w:rPr>
          <w:rFonts w:eastAsiaTheme="minorEastAsia" w:cstheme="minorHAnsi"/>
          <w:b/>
          <w:bCs/>
        </w:rPr>
        <w:t>e)</w:t>
      </w:r>
      <w:r w:rsidR="002E0FBB">
        <w:rPr>
          <w:rFonts w:eastAsiaTheme="minorEastAsia" w:cstheme="minorHAnsi"/>
        </w:rPr>
        <w:t>Djibouti’s</w:t>
      </w:r>
      <w:proofErr w:type="gramEnd"/>
      <w:r w:rsidR="002E0FBB">
        <w:rPr>
          <w:rFonts w:eastAsiaTheme="minorEastAsia" w:cstheme="minorHAnsi"/>
        </w:rPr>
        <w:t xml:space="preserve"> Response to COVID-19 Induced Livelihoods and Jobs.</w:t>
      </w:r>
    </w:p>
    <w:p w14:paraId="1D3DA9EC" w14:textId="58F41E86" w:rsidR="00D401FC" w:rsidRDefault="00D401FC" w:rsidP="00B17ED1">
      <w:pPr>
        <w:spacing w:before="100" w:after="0" w:line="240" w:lineRule="auto"/>
        <w:ind w:left="-360"/>
        <w:jc w:val="both"/>
        <w:rPr>
          <w:rFonts w:eastAsiaTheme="minorEastAsia" w:cstheme="minorHAnsi"/>
        </w:rPr>
      </w:pPr>
      <w:r>
        <w:rPr>
          <w:rFonts w:eastAsiaTheme="minorEastAsia" w:cstheme="minorHAnsi"/>
        </w:rPr>
        <w:t>Through the f</w:t>
      </w:r>
      <w:r w:rsidR="00637192">
        <w:rPr>
          <w:rFonts w:eastAsiaTheme="minorEastAsia" w:cstheme="minorHAnsi"/>
        </w:rPr>
        <w:t>ive</w:t>
      </w:r>
      <w:r>
        <w:rPr>
          <w:rFonts w:eastAsiaTheme="minorEastAsia" w:cstheme="minorHAnsi"/>
        </w:rPr>
        <w:t xml:space="preserve"> projects, the Incubation Fund project will </w:t>
      </w:r>
      <w:r w:rsidR="002E0FBB">
        <w:rPr>
          <w:rFonts w:eastAsiaTheme="minorEastAsia" w:cstheme="minorHAnsi"/>
        </w:rPr>
        <w:t xml:space="preserve">have </w:t>
      </w:r>
      <w:r w:rsidR="002E0FBB" w:rsidRPr="002E0FBB">
        <w:rPr>
          <w:rFonts w:eastAsiaTheme="minorEastAsia" w:cstheme="minorHAnsi"/>
          <w:b/>
          <w:bCs/>
        </w:rPr>
        <w:t>co-financing</w:t>
      </w:r>
      <w:r w:rsidR="002E0FBB">
        <w:rPr>
          <w:rFonts w:eastAsiaTheme="minorEastAsia" w:cstheme="minorHAnsi"/>
        </w:rPr>
        <w:t xml:space="preserve"> on the </w:t>
      </w:r>
      <w:r w:rsidR="002E0FBB" w:rsidRPr="002E0FBB">
        <w:rPr>
          <w:rFonts w:eastAsiaTheme="minorEastAsia" w:cstheme="minorHAnsi"/>
          <w:b/>
          <w:bCs/>
        </w:rPr>
        <w:t>key thematic areas</w:t>
      </w:r>
      <w:r w:rsidR="002E0FBB">
        <w:rPr>
          <w:rFonts w:eastAsiaTheme="minorEastAsia" w:cstheme="minorHAnsi"/>
        </w:rPr>
        <w:t xml:space="preserve"> – </w:t>
      </w:r>
      <w:r w:rsidR="002E0FBB" w:rsidRPr="002E0FBB">
        <w:rPr>
          <w:rFonts w:eastAsiaTheme="minorEastAsia" w:cstheme="minorHAnsi"/>
          <w:b/>
          <w:bCs/>
        </w:rPr>
        <w:t>a)</w:t>
      </w:r>
      <w:r w:rsidR="002E0FBB">
        <w:rPr>
          <w:rFonts w:eastAsiaTheme="minorEastAsia" w:cstheme="minorHAnsi"/>
        </w:rPr>
        <w:t xml:space="preserve"> SDG financing, </w:t>
      </w:r>
      <w:r w:rsidR="002E0FBB" w:rsidRPr="002E0FBB">
        <w:rPr>
          <w:rFonts w:eastAsiaTheme="minorEastAsia" w:cstheme="minorHAnsi"/>
          <w:b/>
          <w:bCs/>
        </w:rPr>
        <w:t>b)</w:t>
      </w:r>
      <w:r w:rsidR="002E0FBB">
        <w:rPr>
          <w:rFonts w:eastAsiaTheme="minorEastAsia" w:cstheme="minorHAnsi"/>
        </w:rPr>
        <w:t xml:space="preserve"> Decentralization, </w:t>
      </w:r>
      <w:r w:rsidR="002E0FBB" w:rsidRPr="002E0FBB">
        <w:rPr>
          <w:rFonts w:eastAsiaTheme="minorEastAsia" w:cstheme="minorHAnsi"/>
          <w:b/>
          <w:bCs/>
        </w:rPr>
        <w:t>c)</w:t>
      </w:r>
      <w:r w:rsidR="002E0FBB">
        <w:rPr>
          <w:rFonts w:eastAsiaTheme="minorEastAsia" w:cstheme="minorHAnsi"/>
        </w:rPr>
        <w:t xml:space="preserve"> Institutionalization, </w:t>
      </w:r>
      <w:r w:rsidR="002E0FBB" w:rsidRPr="002E0FBB">
        <w:rPr>
          <w:rFonts w:eastAsiaTheme="minorEastAsia" w:cstheme="minorHAnsi"/>
          <w:b/>
          <w:bCs/>
        </w:rPr>
        <w:t>d)</w:t>
      </w:r>
      <w:r w:rsidR="002E0FBB">
        <w:rPr>
          <w:rFonts w:eastAsiaTheme="minorEastAsia" w:cstheme="minorHAnsi"/>
        </w:rPr>
        <w:t xml:space="preserve"> Digitalization, </w:t>
      </w:r>
      <w:r w:rsidR="002E0FBB" w:rsidRPr="002E0FBB">
        <w:rPr>
          <w:rFonts w:eastAsiaTheme="minorEastAsia" w:cstheme="minorHAnsi"/>
          <w:b/>
          <w:bCs/>
        </w:rPr>
        <w:t>e)</w:t>
      </w:r>
      <w:r w:rsidR="002E0FBB">
        <w:rPr>
          <w:rFonts w:eastAsiaTheme="minorEastAsia" w:cstheme="minorHAnsi"/>
        </w:rPr>
        <w:t xml:space="preserve"> Financial Inclusion and </w:t>
      </w:r>
      <w:r w:rsidR="002E0FBB" w:rsidRPr="002E0FBB">
        <w:rPr>
          <w:rFonts w:eastAsiaTheme="minorEastAsia" w:cstheme="minorHAnsi"/>
          <w:b/>
          <w:bCs/>
        </w:rPr>
        <w:t>f)</w:t>
      </w:r>
      <w:r w:rsidR="002E0FBB">
        <w:rPr>
          <w:rFonts w:eastAsiaTheme="minorEastAsia" w:cstheme="minorHAnsi"/>
        </w:rPr>
        <w:t xml:space="preserve"> </w:t>
      </w:r>
      <w:r w:rsidR="002E0FBB" w:rsidRPr="006D46E7">
        <w:rPr>
          <w:rFonts w:eastAsiaTheme="minorEastAsia" w:cstheme="minorHAnsi"/>
        </w:rPr>
        <w:t>Integrated National Financing Framework</w:t>
      </w:r>
    </w:p>
    <w:p w14:paraId="22C73CF9" w14:textId="6EEA078A" w:rsidR="003F121A" w:rsidRDefault="003F121A" w:rsidP="003944BF">
      <w:pPr>
        <w:spacing w:before="100" w:after="0" w:line="240" w:lineRule="auto"/>
        <w:jc w:val="both"/>
        <w:rPr>
          <w:rFonts w:eastAsiaTheme="minorEastAsia" w:cstheme="minorHAnsi"/>
          <w:i/>
          <w:iCs/>
        </w:rPr>
      </w:pPr>
    </w:p>
    <w:p w14:paraId="7DE8DF01" w14:textId="18D5732F" w:rsidR="003944BF" w:rsidRPr="00915A1C" w:rsidRDefault="003944BF" w:rsidP="003944BF">
      <w:pPr>
        <w:shd w:val="clear" w:color="auto" w:fill="D9E2F3" w:themeFill="accent1" w:themeFillTint="33"/>
        <w:spacing w:after="0" w:line="240" w:lineRule="auto"/>
        <w:ind w:left="-180" w:hanging="180"/>
        <w:rPr>
          <w:rFonts w:ascii="Calibri" w:eastAsia="Times New Roman" w:hAnsi="Calibri" w:cs="Calibri"/>
          <w:b/>
          <w:bCs/>
          <w:color w:val="44546A"/>
          <w:sz w:val="28"/>
          <w:szCs w:val="28"/>
        </w:rPr>
      </w:pPr>
      <w:r>
        <w:rPr>
          <w:rFonts w:ascii="Calibri" w:eastAsia="Times New Roman" w:hAnsi="Calibri" w:cs="Calibri"/>
          <w:b/>
          <w:bCs/>
          <w:color w:val="44546A"/>
          <w:sz w:val="28"/>
          <w:szCs w:val="28"/>
        </w:rPr>
        <w:t>Alignment with RBAS Program Incubation Fund Criteria</w:t>
      </w:r>
    </w:p>
    <w:p w14:paraId="2A63D1D2" w14:textId="335F7A0A" w:rsidR="00DD4ED9" w:rsidRDefault="00DD4ED9" w:rsidP="003C18EB">
      <w:pPr>
        <w:spacing w:after="0" w:line="240" w:lineRule="auto"/>
        <w:ind w:left="-284"/>
        <w:jc w:val="both"/>
        <w:rPr>
          <w:rFonts w:ascii="Calibri" w:eastAsia="Times New Roman" w:hAnsi="Calibri" w:cs="Calibri"/>
          <w:color w:val="44546A"/>
        </w:rPr>
      </w:pPr>
      <w:r w:rsidRPr="00EB6820">
        <w:rPr>
          <w:rFonts w:ascii="Calibri" w:eastAsia="Times New Roman" w:hAnsi="Calibri" w:cs="Calibri"/>
          <w:b/>
          <w:bCs/>
          <w:color w:val="44546A"/>
        </w:rPr>
        <w:t>Innovation</w:t>
      </w:r>
      <w:r w:rsidR="00336ADB" w:rsidRPr="00EB6820">
        <w:rPr>
          <w:rFonts w:ascii="Calibri" w:eastAsia="Times New Roman" w:hAnsi="Calibri" w:cs="Calibri"/>
          <w:b/>
          <w:bCs/>
          <w:color w:val="44546A"/>
        </w:rPr>
        <w:t>:</w:t>
      </w:r>
      <w:r w:rsidR="00B014DF">
        <w:rPr>
          <w:rFonts w:ascii="Calibri" w:eastAsia="Times New Roman" w:hAnsi="Calibri" w:cs="Calibri"/>
          <w:color w:val="44546A"/>
        </w:rPr>
        <w:t xml:space="preserve"> </w:t>
      </w:r>
      <w:r w:rsidR="00EB6820">
        <w:rPr>
          <w:rFonts w:ascii="Calibri" w:eastAsia="Times New Roman" w:hAnsi="Calibri" w:cs="Calibri"/>
          <w:color w:val="44546A"/>
        </w:rPr>
        <w:t xml:space="preserve">Localization of SDGs through the integration of SDG targets customized by regional development priorities is an innovative approach to bring transformative governance changes. Djibouti is undergoing transition </w:t>
      </w:r>
      <w:r w:rsidR="00EB6820">
        <w:rPr>
          <w:rFonts w:ascii="Calibri" w:eastAsia="Times New Roman" w:hAnsi="Calibri" w:cs="Calibri"/>
          <w:color w:val="44546A"/>
        </w:rPr>
        <w:lastRenderedPageBreak/>
        <w:t xml:space="preserve">and UNDP’s tools like digitalization of data, evidence-based planning and monitoring mechanisms, and platforms for integrated and decentralized development present an innovative business model aligned with RBAS Incubation Fund criteria. </w:t>
      </w:r>
    </w:p>
    <w:p w14:paraId="65860150" w14:textId="77777777" w:rsidR="00EB6820" w:rsidRDefault="00EB6820" w:rsidP="003C18EB">
      <w:pPr>
        <w:spacing w:after="0" w:line="240" w:lineRule="auto"/>
        <w:ind w:left="-284"/>
        <w:jc w:val="both"/>
        <w:rPr>
          <w:rFonts w:ascii="Calibri" w:eastAsia="Times New Roman" w:hAnsi="Calibri" w:cs="Calibri"/>
          <w:color w:val="44546A"/>
        </w:rPr>
      </w:pPr>
    </w:p>
    <w:p w14:paraId="00125A0D" w14:textId="08F491D5" w:rsidR="00DD4ED9" w:rsidRPr="00F56F8A" w:rsidRDefault="00DD4ED9" w:rsidP="003C18EB">
      <w:pPr>
        <w:spacing w:after="0" w:line="240" w:lineRule="auto"/>
        <w:ind w:left="-284"/>
        <w:jc w:val="both"/>
        <w:rPr>
          <w:rFonts w:ascii="Calibri" w:eastAsia="Times New Roman" w:hAnsi="Calibri" w:cs="Calibri"/>
          <w:color w:val="44546A"/>
        </w:rPr>
      </w:pPr>
      <w:r w:rsidRPr="00EB6820">
        <w:rPr>
          <w:rFonts w:ascii="Calibri" w:eastAsia="Times New Roman" w:hAnsi="Calibri" w:cs="Calibri"/>
          <w:b/>
          <w:bCs/>
          <w:color w:val="44546A"/>
        </w:rPr>
        <w:t>Relevance</w:t>
      </w:r>
      <w:r w:rsidR="001A5F78" w:rsidRPr="00EB6820">
        <w:rPr>
          <w:rFonts w:ascii="Calibri" w:eastAsia="Times New Roman" w:hAnsi="Calibri" w:cs="Calibri"/>
          <w:b/>
          <w:bCs/>
          <w:color w:val="44546A"/>
        </w:rPr>
        <w:t>:</w:t>
      </w:r>
      <w:r w:rsidR="001A5F78">
        <w:rPr>
          <w:rFonts w:ascii="Calibri" w:eastAsia="Times New Roman" w:hAnsi="Calibri" w:cs="Calibri"/>
          <w:color w:val="44546A"/>
        </w:rPr>
        <w:t xml:space="preserve"> </w:t>
      </w:r>
      <w:r w:rsidR="00EB6820">
        <w:rPr>
          <w:rFonts w:ascii="Calibri" w:eastAsia="Times New Roman" w:hAnsi="Calibri" w:cs="Calibri"/>
          <w:color w:val="44546A"/>
        </w:rPr>
        <w:t xml:space="preserve">The </w:t>
      </w:r>
      <w:r w:rsidR="001F22BB">
        <w:rPr>
          <w:rFonts w:ascii="Calibri" w:eastAsia="Times New Roman" w:hAnsi="Calibri" w:cs="Calibri"/>
          <w:color w:val="44546A"/>
        </w:rPr>
        <w:t xml:space="preserve">crux of the project is built on the premises of the National Development Plan (NDP) and the last mile that needs to be filled to align the NDP targets to the SDGs. The activities </w:t>
      </w:r>
      <w:r w:rsidR="001A5F78">
        <w:rPr>
          <w:rFonts w:ascii="Calibri" w:eastAsia="Times New Roman" w:hAnsi="Calibri" w:cs="Calibri"/>
          <w:color w:val="44546A"/>
        </w:rPr>
        <w:t xml:space="preserve">draw on new </w:t>
      </w:r>
      <w:r w:rsidR="00AC037E">
        <w:rPr>
          <w:rFonts w:ascii="Calibri" w:eastAsia="Times New Roman" w:hAnsi="Calibri" w:cs="Calibri"/>
          <w:color w:val="44546A"/>
        </w:rPr>
        <w:t>national strategic priorities</w:t>
      </w:r>
      <w:r w:rsidR="001F22BB">
        <w:rPr>
          <w:rFonts w:ascii="Calibri" w:eastAsia="Times New Roman" w:hAnsi="Calibri" w:cs="Calibri"/>
          <w:color w:val="44546A"/>
        </w:rPr>
        <w:t xml:space="preserve"> and aspirations of fostering decentralization elaborated in the NDP. The NDP was launched in March 2022 and has a tight schedule to meet the envisaged targets by end of 2024. Hence, the tools and mechanisms proposed in the project are not only relevant but can also be catalytic towards the attainment of the NDP targets.</w:t>
      </w:r>
    </w:p>
    <w:p w14:paraId="67140CF1" w14:textId="77777777" w:rsidR="001B4D53" w:rsidRDefault="001B4D53" w:rsidP="003C18EB">
      <w:pPr>
        <w:spacing w:after="0" w:line="240" w:lineRule="auto"/>
        <w:ind w:left="-284"/>
        <w:jc w:val="both"/>
        <w:rPr>
          <w:rFonts w:ascii="Calibri" w:eastAsia="Times New Roman" w:hAnsi="Calibri" w:cs="Calibri"/>
          <w:color w:val="44546A"/>
        </w:rPr>
      </w:pPr>
    </w:p>
    <w:p w14:paraId="32FFAD5B" w14:textId="39F06608" w:rsidR="00DD4ED9" w:rsidRDefault="00F56F8A" w:rsidP="003C18EB">
      <w:pPr>
        <w:spacing w:after="0" w:line="240" w:lineRule="auto"/>
        <w:ind w:left="-284"/>
        <w:jc w:val="both"/>
        <w:rPr>
          <w:rFonts w:ascii="Calibri" w:eastAsia="Times New Roman" w:hAnsi="Calibri" w:cs="Calibri"/>
          <w:color w:val="44546A"/>
        </w:rPr>
      </w:pPr>
      <w:r w:rsidRPr="001F22BB">
        <w:rPr>
          <w:rFonts w:ascii="Calibri" w:eastAsia="Times New Roman" w:hAnsi="Calibri" w:cs="Calibri"/>
          <w:b/>
          <w:bCs/>
          <w:color w:val="44546A"/>
        </w:rPr>
        <w:t>Potential for scaling up:</w:t>
      </w:r>
      <w:r w:rsidRPr="00F56F8A">
        <w:rPr>
          <w:rFonts w:ascii="Calibri" w:eastAsia="Times New Roman" w:hAnsi="Calibri" w:cs="Calibri"/>
          <w:color w:val="44546A"/>
        </w:rPr>
        <w:t xml:space="preserve"> </w:t>
      </w:r>
      <w:r w:rsidR="001F22BB">
        <w:rPr>
          <w:rFonts w:ascii="Calibri" w:eastAsia="Times New Roman" w:hAnsi="Calibri" w:cs="Calibri"/>
          <w:color w:val="44546A"/>
        </w:rPr>
        <w:t>The proposed activities are designed specifically to build the much-needed foundation</w:t>
      </w:r>
      <w:r w:rsidR="00A046DF">
        <w:rPr>
          <w:rFonts w:ascii="Calibri" w:eastAsia="Times New Roman" w:hAnsi="Calibri" w:cs="Calibri"/>
          <w:color w:val="44546A"/>
        </w:rPr>
        <w:t xml:space="preserve"> for transformative governance and introduce the concept of SDG localization and SDG-centric financing approaches. These tools and mechanisms will help l</w:t>
      </w:r>
      <w:r w:rsidRPr="00F56F8A">
        <w:rPr>
          <w:rFonts w:ascii="Calibri" w:eastAsia="Times New Roman" w:hAnsi="Calibri" w:cs="Calibri"/>
          <w:color w:val="44546A"/>
        </w:rPr>
        <w:t xml:space="preserve">everage </w:t>
      </w:r>
      <w:r w:rsidR="00A046DF">
        <w:rPr>
          <w:rFonts w:ascii="Calibri" w:eastAsia="Times New Roman" w:hAnsi="Calibri" w:cs="Calibri"/>
          <w:color w:val="44546A"/>
        </w:rPr>
        <w:t>funds</w:t>
      </w:r>
      <w:r w:rsidRPr="00F56F8A">
        <w:rPr>
          <w:rFonts w:ascii="Calibri" w:eastAsia="Times New Roman" w:hAnsi="Calibri" w:cs="Calibri"/>
          <w:color w:val="44546A"/>
        </w:rPr>
        <w:t xml:space="preserve"> for phase 2 of Rising Djibouti</w:t>
      </w:r>
      <w:r w:rsidR="00A046DF">
        <w:rPr>
          <w:rFonts w:ascii="Calibri" w:eastAsia="Times New Roman" w:hAnsi="Calibri" w:cs="Calibri"/>
          <w:color w:val="44546A"/>
        </w:rPr>
        <w:t xml:space="preserve">. </w:t>
      </w:r>
      <w:r w:rsidR="00267DE6">
        <w:rPr>
          <w:rFonts w:ascii="Calibri" w:eastAsia="Times New Roman" w:hAnsi="Calibri" w:cs="Calibri"/>
          <w:color w:val="44546A"/>
        </w:rPr>
        <w:t xml:space="preserve">Aligned with the request from the government (MEFI) to design Rising Djibouti Phase 2 coherent with the government’s advocacy for funding support with the donors, UNDP has started co-creating a USD 10 million project with the government. Considering that the proposed activities </w:t>
      </w:r>
      <w:r w:rsidR="00A046DF">
        <w:rPr>
          <w:rFonts w:ascii="Calibri" w:eastAsia="Times New Roman" w:hAnsi="Calibri" w:cs="Calibri"/>
          <w:color w:val="44546A"/>
        </w:rPr>
        <w:t xml:space="preserve">support the acceleration of SDG attainment and invariably contribute towards </w:t>
      </w:r>
      <w:r w:rsidR="00267DE6">
        <w:rPr>
          <w:rFonts w:ascii="Calibri" w:eastAsia="Times New Roman" w:hAnsi="Calibri" w:cs="Calibri"/>
          <w:color w:val="44546A"/>
        </w:rPr>
        <w:t xml:space="preserve">the </w:t>
      </w:r>
      <w:r w:rsidR="00A046DF">
        <w:rPr>
          <w:rFonts w:ascii="Calibri" w:eastAsia="Times New Roman" w:hAnsi="Calibri" w:cs="Calibri"/>
          <w:color w:val="44546A"/>
        </w:rPr>
        <w:t>attainment of NDP targets</w:t>
      </w:r>
      <w:r w:rsidR="00267DE6">
        <w:rPr>
          <w:rFonts w:ascii="Calibri" w:eastAsia="Times New Roman" w:hAnsi="Calibri" w:cs="Calibri"/>
          <w:color w:val="44546A"/>
        </w:rPr>
        <w:t xml:space="preserve">, these respond to the recommendations made by the IFC in the recently launched – “Diagnosis of the Private Sector in Djibouti” and </w:t>
      </w:r>
      <w:proofErr w:type="spellStart"/>
      <w:r w:rsidR="00267DE6" w:rsidRPr="005524F5">
        <w:rPr>
          <w:rFonts w:ascii="Calibri" w:eastAsia="Times New Roman" w:hAnsi="Calibri" w:cs="Calibri"/>
          <w:color w:val="44546A"/>
        </w:rPr>
        <w:t>Agence</w:t>
      </w:r>
      <w:proofErr w:type="spellEnd"/>
      <w:r w:rsidR="00267DE6" w:rsidRPr="005524F5">
        <w:rPr>
          <w:rFonts w:ascii="Calibri" w:eastAsia="Times New Roman" w:hAnsi="Calibri" w:cs="Calibri"/>
          <w:color w:val="44546A"/>
        </w:rPr>
        <w:t xml:space="preserve"> </w:t>
      </w:r>
      <w:proofErr w:type="spellStart"/>
      <w:r w:rsidR="00267DE6" w:rsidRPr="005524F5">
        <w:rPr>
          <w:rFonts w:ascii="Calibri" w:eastAsia="Times New Roman" w:hAnsi="Calibri" w:cs="Calibri"/>
          <w:color w:val="44546A"/>
        </w:rPr>
        <w:t>Française</w:t>
      </w:r>
      <w:proofErr w:type="spellEnd"/>
      <w:r w:rsidR="00267DE6" w:rsidRPr="005524F5">
        <w:rPr>
          <w:rFonts w:ascii="Calibri" w:eastAsia="Times New Roman" w:hAnsi="Calibri" w:cs="Calibri"/>
          <w:color w:val="44546A"/>
        </w:rPr>
        <w:t xml:space="preserve"> de </w:t>
      </w:r>
      <w:proofErr w:type="spellStart"/>
      <w:r w:rsidR="00267DE6" w:rsidRPr="005524F5">
        <w:rPr>
          <w:rFonts w:ascii="Calibri" w:eastAsia="Times New Roman" w:hAnsi="Calibri" w:cs="Calibri"/>
          <w:color w:val="44546A"/>
        </w:rPr>
        <w:t>Développement</w:t>
      </w:r>
      <w:proofErr w:type="spellEnd"/>
      <w:r w:rsidR="00267DE6">
        <w:rPr>
          <w:rFonts w:ascii="Calibri" w:eastAsia="Times New Roman" w:hAnsi="Calibri" w:cs="Calibri"/>
          <w:color w:val="44546A"/>
        </w:rPr>
        <w:t xml:space="preserve"> (AFD)’s Diagnosis of Financial Sector in Djibouti and priority projects. Based on the current </w:t>
      </w:r>
      <w:r w:rsidR="003C18EB">
        <w:rPr>
          <w:rFonts w:ascii="Calibri" w:eastAsia="Times New Roman" w:hAnsi="Calibri" w:cs="Calibri"/>
          <w:color w:val="44546A"/>
        </w:rPr>
        <w:t xml:space="preserve">developments, the project has the potential to forge partnerships with </w:t>
      </w:r>
      <w:r w:rsidR="00B26CE1">
        <w:rPr>
          <w:rFonts w:ascii="Calibri" w:eastAsia="Times New Roman" w:hAnsi="Calibri" w:cs="Calibri"/>
          <w:color w:val="44546A"/>
        </w:rPr>
        <w:t>the World Bank</w:t>
      </w:r>
      <w:r w:rsidR="009165BF">
        <w:rPr>
          <w:rFonts w:ascii="Calibri" w:eastAsia="Times New Roman" w:hAnsi="Calibri" w:cs="Calibri"/>
          <w:color w:val="44546A"/>
        </w:rPr>
        <w:t>,</w:t>
      </w:r>
      <w:r w:rsidR="00B26CE1">
        <w:rPr>
          <w:rFonts w:ascii="Calibri" w:eastAsia="Times New Roman" w:hAnsi="Calibri" w:cs="Calibri"/>
          <w:color w:val="44546A"/>
        </w:rPr>
        <w:t xml:space="preserve"> </w:t>
      </w:r>
      <w:r w:rsidR="00B90427">
        <w:rPr>
          <w:rFonts w:ascii="Calibri" w:eastAsia="Times New Roman" w:hAnsi="Calibri" w:cs="Calibri"/>
          <w:color w:val="44546A"/>
        </w:rPr>
        <w:t>other IFIs</w:t>
      </w:r>
      <w:r w:rsidR="003C18EB">
        <w:rPr>
          <w:rFonts w:ascii="Calibri" w:eastAsia="Times New Roman" w:hAnsi="Calibri" w:cs="Calibri"/>
          <w:color w:val="44546A"/>
        </w:rPr>
        <w:t xml:space="preserve">, USAID and the governments of Canada and Norway and mobilize resources. </w:t>
      </w:r>
    </w:p>
    <w:p w14:paraId="30AA3FB0" w14:textId="77777777" w:rsidR="00340EEF" w:rsidRPr="00F56F8A" w:rsidRDefault="00340EEF" w:rsidP="00CD106D">
      <w:pPr>
        <w:shd w:val="clear" w:color="auto" w:fill="FFFFFF" w:themeFill="background1"/>
        <w:spacing w:after="0" w:line="240" w:lineRule="auto"/>
        <w:ind w:left="-180" w:hanging="180"/>
        <w:rPr>
          <w:rFonts w:ascii="Calibri" w:eastAsia="Times New Roman" w:hAnsi="Calibri" w:cs="Calibri"/>
          <w:color w:val="44546A"/>
        </w:rPr>
      </w:pPr>
    </w:p>
    <w:p w14:paraId="49DD06EC" w14:textId="271B840C" w:rsidR="009F1DDA" w:rsidRPr="00A42020" w:rsidRDefault="009F1DDA" w:rsidP="00A42020">
      <w:pPr>
        <w:shd w:val="clear" w:color="auto" w:fill="D9E2F3" w:themeFill="accent1" w:themeFillTint="33"/>
        <w:spacing w:after="0" w:line="240" w:lineRule="auto"/>
        <w:ind w:left="-180" w:hanging="180"/>
        <w:rPr>
          <w:rFonts w:ascii="Calibri" w:eastAsia="Times New Roman" w:hAnsi="Calibri" w:cs="Calibri"/>
          <w:b/>
          <w:bCs/>
          <w:color w:val="44546A"/>
          <w:sz w:val="28"/>
          <w:szCs w:val="28"/>
        </w:rPr>
      </w:pPr>
      <w:r w:rsidRPr="00A42020">
        <w:rPr>
          <w:rFonts w:ascii="Calibri" w:eastAsia="Times New Roman" w:hAnsi="Calibri" w:cs="Calibri"/>
          <w:b/>
          <w:bCs/>
          <w:color w:val="44546A"/>
          <w:sz w:val="28"/>
          <w:szCs w:val="28"/>
        </w:rPr>
        <w:t>Risk</w:t>
      </w:r>
      <w:r w:rsidR="00B32BF0">
        <w:rPr>
          <w:rFonts w:ascii="Calibri" w:eastAsia="Times New Roman" w:hAnsi="Calibri" w:cs="Calibri"/>
          <w:b/>
          <w:bCs/>
          <w:color w:val="44546A"/>
          <w:sz w:val="28"/>
          <w:szCs w:val="28"/>
        </w:rPr>
        <w:t xml:space="preserve">s and </w:t>
      </w:r>
      <w:r w:rsidRPr="00A42020">
        <w:rPr>
          <w:rFonts w:ascii="Calibri" w:eastAsia="Times New Roman" w:hAnsi="Calibri" w:cs="Calibri"/>
          <w:b/>
          <w:bCs/>
          <w:color w:val="44546A"/>
          <w:sz w:val="28"/>
          <w:szCs w:val="28"/>
        </w:rPr>
        <w:t xml:space="preserve">mitigation </w:t>
      </w:r>
      <w:r w:rsidR="00B32BF0">
        <w:rPr>
          <w:rFonts w:ascii="Calibri" w:eastAsia="Times New Roman" w:hAnsi="Calibri" w:cs="Calibri"/>
          <w:b/>
          <w:bCs/>
          <w:color w:val="44546A"/>
          <w:sz w:val="28"/>
          <w:szCs w:val="28"/>
        </w:rPr>
        <w:t>measures</w:t>
      </w:r>
    </w:p>
    <w:p w14:paraId="04C5BBD6" w14:textId="65A5830C" w:rsidR="009F1DDA" w:rsidRDefault="009F1DDA" w:rsidP="00CD106D">
      <w:pPr>
        <w:shd w:val="clear" w:color="auto" w:fill="FFFFFF" w:themeFill="background1"/>
        <w:spacing w:after="0" w:line="240" w:lineRule="auto"/>
        <w:ind w:left="-180" w:hanging="180"/>
        <w:rPr>
          <w:rFonts w:ascii="Calibri" w:eastAsia="Times New Roman" w:hAnsi="Calibri" w:cs="Calibri"/>
          <w:color w:val="44546A"/>
        </w:rPr>
      </w:pPr>
    </w:p>
    <w:tbl>
      <w:tblPr>
        <w:tblStyle w:val="TableGrid"/>
        <w:tblW w:w="10632" w:type="dxa"/>
        <w:tblInd w:w="-289" w:type="dxa"/>
        <w:tblLook w:val="04A0" w:firstRow="1" w:lastRow="0" w:firstColumn="1" w:lastColumn="0" w:noHBand="0" w:noVBand="1"/>
      </w:tblPr>
      <w:tblGrid>
        <w:gridCol w:w="2552"/>
        <w:gridCol w:w="1701"/>
        <w:gridCol w:w="6379"/>
      </w:tblGrid>
      <w:tr w:rsidR="004E6CCA" w14:paraId="17AA5E80" w14:textId="77777777" w:rsidTr="001B11FF">
        <w:tc>
          <w:tcPr>
            <w:tcW w:w="2552" w:type="dxa"/>
          </w:tcPr>
          <w:p w14:paraId="28D69B05" w14:textId="635CC2B3" w:rsidR="004E6CCA" w:rsidRPr="00084C71" w:rsidRDefault="004E6CCA" w:rsidP="00084C71">
            <w:pPr>
              <w:jc w:val="center"/>
              <w:rPr>
                <w:rFonts w:ascii="Calibri" w:eastAsia="Times New Roman" w:hAnsi="Calibri" w:cs="Calibri"/>
                <w:b/>
                <w:bCs/>
                <w:color w:val="44546A"/>
              </w:rPr>
            </w:pPr>
            <w:r w:rsidRPr="00084C71">
              <w:rPr>
                <w:rFonts w:ascii="Calibri" w:eastAsia="Times New Roman" w:hAnsi="Calibri" w:cs="Calibri"/>
                <w:b/>
                <w:bCs/>
                <w:color w:val="44546A"/>
              </w:rPr>
              <w:t>Risks</w:t>
            </w:r>
          </w:p>
        </w:tc>
        <w:tc>
          <w:tcPr>
            <w:tcW w:w="1701" w:type="dxa"/>
          </w:tcPr>
          <w:p w14:paraId="256BA29A" w14:textId="0BCEAE7E" w:rsidR="004E6CCA" w:rsidRPr="00084C71" w:rsidRDefault="004E6CCA" w:rsidP="00084C71">
            <w:pPr>
              <w:jc w:val="center"/>
              <w:rPr>
                <w:rFonts w:ascii="Calibri" w:eastAsia="Times New Roman" w:hAnsi="Calibri" w:cs="Calibri"/>
                <w:b/>
                <w:bCs/>
                <w:color w:val="44546A"/>
              </w:rPr>
            </w:pPr>
            <w:r w:rsidRPr="00084C71">
              <w:rPr>
                <w:rFonts w:ascii="Calibri" w:eastAsia="Times New Roman" w:hAnsi="Calibri" w:cs="Calibri"/>
                <w:b/>
                <w:bCs/>
                <w:color w:val="44546A"/>
              </w:rPr>
              <w:t>Probability level</w:t>
            </w:r>
          </w:p>
        </w:tc>
        <w:tc>
          <w:tcPr>
            <w:tcW w:w="6379" w:type="dxa"/>
            <w:shd w:val="clear" w:color="auto" w:fill="auto"/>
          </w:tcPr>
          <w:p w14:paraId="4C05DADE" w14:textId="55E24086" w:rsidR="004E6CCA" w:rsidRPr="00084C71" w:rsidRDefault="004E6CCA" w:rsidP="00084C71">
            <w:pPr>
              <w:jc w:val="center"/>
              <w:rPr>
                <w:rFonts w:ascii="Calibri" w:eastAsia="Times New Roman" w:hAnsi="Calibri" w:cs="Calibri"/>
                <w:b/>
                <w:bCs/>
                <w:color w:val="44546A"/>
              </w:rPr>
            </w:pPr>
            <w:r w:rsidRPr="00FF2C42">
              <w:rPr>
                <w:rFonts w:ascii="Calibri" w:eastAsia="Times New Roman" w:hAnsi="Calibri" w:cs="Calibri"/>
                <w:b/>
                <w:bCs/>
                <w:color w:val="44546A"/>
              </w:rPr>
              <w:t>Mitigation measures</w:t>
            </w:r>
          </w:p>
        </w:tc>
      </w:tr>
      <w:tr w:rsidR="002C422D" w14:paraId="1255CB77" w14:textId="77777777" w:rsidTr="001B11FF">
        <w:tc>
          <w:tcPr>
            <w:tcW w:w="2552" w:type="dxa"/>
          </w:tcPr>
          <w:p w14:paraId="3F2ED44D" w14:textId="5532C7C5" w:rsidR="002C422D" w:rsidRDefault="002C422D" w:rsidP="0022718C">
            <w:pPr>
              <w:rPr>
                <w:rFonts w:ascii="Calibri" w:eastAsia="Times New Roman" w:hAnsi="Calibri" w:cs="Calibri"/>
                <w:color w:val="44546A"/>
              </w:rPr>
            </w:pPr>
            <w:r w:rsidRPr="00326305">
              <w:rPr>
                <w:rFonts w:ascii="Calibri" w:eastAsia="Times New Roman" w:hAnsi="Calibri" w:cs="Calibri"/>
                <w:color w:val="44546A"/>
              </w:rPr>
              <w:t xml:space="preserve">Policy Reforms </w:t>
            </w:r>
            <w:r>
              <w:rPr>
                <w:rFonts w:ascii="Calibri" w:eastAsia="Times New Roman" w:hAnsi="Calibri" w:cs="Calibri"/>
                <w:color w:val="44546A"/>
              </w:rPr>
              <w:t>are</w:t>
            </w:r>
            <w:r w:rsidRPr="00326305">
              <w:rPr>
                <w:rFonts w:ascii="Calibri" w:eastAsia="Times New Roman" w:hAnsi="Calibri" w:cs="Calibri"/>
                <w:color w:val="44546A"/>
              </w:rPr>
              <w:t xml:space="preserve"> not</w:t>
            </w:r>
            <w:r>
              <w:rPr>
                <w:rFonts w:ascii="Calibri" w:eastAsia="Times New Roman" w:hAnsi="Calibri" w:cs="Calibri"/>
                <w:color w:val="44546A"/>
              </w:rPr>
              <w:t xml:space="preserve"> </w:t>
            </w:r>
            <w:r w:rsidRPr="00326305">
              <w:rPr>
                <w:rFonts w:ascii="Calibri" w:eastAsia="Times New Roman" w:hAnsi="Calibri" w:cs="Calibri"/>
                <w:color w:val="44546A"/>
              </w:rPr>
              <w:t>easy and fast enough</w:t>
            </w:r>
          </w:p>
        </w:tc>
        <w:tc>
          <w:tcPr>
            <w:tcW w:w="1701" w:type="dxa"/>
          </w:tcPr>
          <w:p w14:paraId="0293572F" w14:textId="3CE4865E" w:rsidR="002C422D" w:rsidRDefault="002C422D" w:rsidP="0022718C">
            <w:pPr>
              <w:rPr>
                <w:rFonts w:ascii="Calibri" w:eastAsia="Times New Roman" w:hAnsi="Calibri" w:cs="Calibri"/>
                <w:color w:val="44546A"/>
              </w:rPr>
            </w:pPr>
            <w:r>
              <w:rPr>
                <w:rFonts w:ascii="Calibri" w:eastAsia="Times New Roman" w:hAnsi="Calibri" w:cs="Calibri"/>
                <w:color w:val="44546A"/>
              </w:rPr>
              <w:t>Medium</w:t>
            </w:r>
          </w:p>
        </w:tc>
        <w:tc>
          <w:tcPr>
            <w:tcW w:w="6379" w:type="dxa"/>
          </w:tcPr>
          <w:p w14:paraId="3995419B" w14:textId="77777777" w:rsidR="002C422D" w:rsidRDefault="003C18EB" w:rsidP="003C18EB">
            <w:pPr>
              <w:pStyle w:val="ListParagraph"/>
              <w:numPr>
                <w:ilvl w:val="0"/>
                <w:numId w:val="18"/>
              </w:numPr>
              <w:ind w:left="257" w:hanging="257"/>
              <w:rPr>
                <w:rFonts w:ascii="Calibri" w:eastAsia="Times New Roman" w:hAnsi="Calibri" w:cs="Calibri"/>
                <w:color w:val="44546A"/>
              </w:rPr>
            </w:pPr>
            <w:r>
              <w:rPr>
                <w:rFonts w:ascii="Calibri" w:eastAsia="Times New Roman" w:hAnsi="Calibri" w:cs="Calibri"/>
                <w:color w:val="44546A"/>
              </w:rPr>
              <w:t xml:space="preserve">Liaise with the technical team of the MEFI to clarify the key bottlenecks and make the prompt amendments </w:t>
            </w:r>
          </w:p>
          <w:p w14:paraId="698444F1" w14:textId="31BD8E15" w:rsidR="003C18EB" w:rsidRPr="003C18EB" w:rsidRDefault="00FF2C42" w:rsidP="003C18EB">
            <w:pPr>
              <w:pStyle w:val="ListParagraph"/>
              <w:numPr>
                <w:ilvl w:val="0"/>
                <w:numId w:val="18"/>
              </w:numPr>
              <w:ind w:left="257" w:hanging="257"/>
              <w:rPr>
                <w:rFonts w:ascii="Calibri" w:eastAsia="Times New Roman" w:hAnsi="Calibri" w:cs="Calibri"/>
                <w:color w:val="44546A"/>
              </w:rPr>
            </w:pPr>
            <w:r>
              <w:rPr>
                <w:rFonts w:ascii="Calibri" w:eastAsia="Times New Roman" w:hAnsi="Calibri" w:cs="Calibri"/>
                <w:color w:val="44546A"/>
              </w:rPr>
              <w:t xml:space="preserve">Present incremental progress and project these developments vis-à-vis the overall context to maintain the focus of the policy reforms </w:t>
            </w:r>
          </w:p>
        </w:tc>
      </w:tr>
      <w:tr w:rsidR="004E6CCA" w14:paraId="77280BF5" w14:textId="77777777" w:rsidTr="001B11FF">
        <w:tc>
          <w:tcPr>
            <w:tcW w:w="2552" w:type="dxa"/>
          </w:tcPr>
          <w:p w14:paraId="7DF824E5" w14:textId="6DA792CC" w:rsidR="004E6CCA" w:rsidRDefault="003C18EB" w:rsidP="0022718C">
            <w:pPr>
              <w:rPr>
                <w:rFonts w:ascii="Calibri" w:eastAsia="Times New Roman" w:hAnsi="Calibri" w:cs="Calibri"/>
                <w:color w:val="44546A"/>
              </w:rPr>
            </w:pPr>
            <w:r>
              <w:rPr>
                <w:rFonts w:ascii="Calibri" w:eastAsia="Times New Roman" w:hAnsi="Calibri" w:cs="Calibri"/>
                <w:color w:val="44546A"/>
              </w:rPr>
              <w:t>Mobility constraints due to subsequent outbreak of COVID-19 pandemic</w:t>
            </w:r>
          </w:p>
        </w:tc>
        <w:tc>
          <w:tcPr>
            <w:tcW w:w="1701" w:type="dxa"/>
          </w:tcPr>
          <w:p w14:paraId="1FD51E4E" w14:textId="6E9DFB0E" w:rsidR="004E6CCA" w:rsidRDefault="002C422D" w:rsidP="0022718C">
            <w:pPr>
              <w:rPr>
                <w:rFonts w:ascii="Calibri" w:eastAsia="Times New Roman" w:hAnsi="Calibri" w:cs="Calibri"/>
                <w:color w:val="44546A"/>
              </w:rPr>
            </w:pPr>
            <w:r>
              <w:rPr>
                <w:rFonts w:ascii="Calibri" w:eastAsia="Times New Roman" w:hAnsi="Calibri" w:cs="Calibri"/>
                <w:color w:val="44546A"/>
              </w:rPr>
              <w:t>Medium</w:t>
            </w:r>
          </w:p>
        </w:tc>
        <w:tc>
          <w:tcPr>
            <w:tcW w:w="6379" w:type="dxa"/>
          </w:tcPr>
          <w:p w14:paraId="33AC6193" w14:textId="17AB6177" w:rsidR="00FF2C42" w:rsidRPr="0096638D" w:rsidRDefault="00FF2C42" w:rsidP="0096638D">
            <w:pPr>
              <w:pStyle w:val="ListParagraph"/>
              <w:numPr>
                <w:ilvl w:val="0"/>
                <w:numId w:val="19"/>
              </w:numPr>
              <w:ind w:left="257" w:hanging="284"/>
              <w:rPr>
                <w:rFonts w:ascii="Calibri" w:eastAsia="Times New Roman" w:hAnsi="Calibri" w:cs="Calibri"/>
                <w:color w:val="44546A"/>
              </w:rPr>
            </w:pPr>
            <w:r>
              <w:rPr>
                <w:rFonts w:ascii="Calibri" w:eastAsia="Times New Roman" w:hAnsi="Calibri" w:cs="Calibri"/>
                <w:color w:val="44546A"/>
              </w:rPr>
              <w:t xml:space="preserve">Provide technical support to the Regional Administrations to enable them to conduct and organize some of the activities virtually </w:t>
            </w:r>
          </w:p>
        </w:tc>
      </w:tr>
      <w:tr w:rsidR="004E6CCA" w14:paraId="4300E55A" w14:textId="77777777" w:rsidTr="001B11FF">
        <w:tc>
          <w:tcPr>
            <w:tcW w:w="2552" w:type="dxa"/>
          </w:tcPr>
          <w:p w14:paraId="4E3F7F10" w14:textId="2D067079" w:rsidR="004E6CCA" w:rsidRDefault="004E6CCA" w:rsidP="0022718C">
            <w:pPr>
              <w:rPr>
                <w:rFonts w:ascii="Calibri" w:eastAsia="Times New Roman" w:hAnsi="Calibri" w:cs="Calibri"/>
                <w:color w:val="44546A"/>
              </w:rPr>
            </w:pPr>
            <w:r w:rsidRPr="00326305">
              <w:rPr>
                <w:rFonts w:ascii="Calibri" w:eastAsia="Times New Roman" w:hAnsi="Calibri" w:cs="Calibri"/>
                <w:color w:val="44546A"/>
              </w:rPr>
              <w:t>Institutional capacity does not match the ambitions of the NDP</w:t>
            </w:r>
          </w:p>
        </w:tc>
        <w:tc>
          <w:tcPr>
            <w:tcW w:w="1701" w:type="dxa"/>
          </w:tcPr>
          <w:p w14:paraId="2B30772D" w14:textId="20770740" w:rsidR="004E6CCA" w:rsidRDefault="002C422D" w:rsidP="0022718C">
            <w:pPr>
              <w:rPr>
                <w:rFonts w:ascii="Calibri" w:eastAsia="Times New Roman" w:hAnsi="Calibri" w:cs="Calibri"/>
                <w:color w:val="44546A"/>
              </w:rPr>
            </w:pPr>
            <w:r>
              <w:rPr>
                <w:rFonts w:ascii="Calibri" w:eastAsia="Times New Roman" w:hAnsi="Calibri" w:cs="Calibri"/>
                <w:color w:val="44546A"/>
              </w:rPr>
              <w:t>Medium</w:t>
            </w:r>
          </w:p>
        </w:tc>
        <w:tc>
          <w:tcPr>
            <w:tcW w:w="6379" w:type="dxa"/>
          </w:tcPr>
          <w:p w14:paraId="51D07D57" w14:textId="24AF4338" w:rsidR="00AA1287" w:rsidRDefault="00AA1287" w:rsidP="0096638D">
            <w:pPr>
              <w:pStyle w:val="ListParagraph"/>
              <w:numPr>
                <w:ilvl w:val="0"/>
                <w:numId w:val="24"/>
              </w:numPr>
              <w:ind w:left="286" w:hanging="283"/>
              <w:rPr>
                <w:rFonts w:ascii="Calibri" w:eastAsia="Times New Roman" w:hAnsi="Calibri" w:cs="Calibri"/>
                <w:color w:val="44546A"/>
              </w:rPr>
            </w:pPr>
            <w:r>
              <w:rPr>
                <w:rFonts w:ascii="Calibri" w:eastAsia="Times New Roman" w:hAnsi="Calibri" w:cs="Calibri"/>
                <w:color w:val="44546A"/>
              </w:rPr>
              <w:t>Identify the key and the big institutional capacity gaps</w:t>
            </w:r>
          </w:p>
          <w:p w14:paraId="1E0DF322" w14:textId="0BFF0787" w:rsidR="004E6CCA" w:rsidRDefault="00AA1287" w:rsidP="0096638D">
            <w:pPr>
              <w:pStyle w:val="ListParagraph"/>
              <w:numPr>
                <w:ilvl w:val="0"/>
                <w:numId w:val="24"/>
              </w:numPr>
              <w:ind w:left="286" w:hanging="283"/>
              <w:rPr>
                <w:rFonts w:ascii="Calibri" w:eastAsia="Times New Roman" w:hAnsi="Calibri" w:cs="Calibri"/>
                <w:color w:val="44546A"/>
              </w:rPr>
            </w:pPr>
            <w:r>
              <w:rPr>
                <w:rFonts w:ascii="Calibri" w:eastAsia="Times New Roman" w:hAnsi="Calibri" w:cs="Calibri"/>
                <w:color w:val="44546A"/>
              </w:rPr>
              <w:t>Coordinate with the existing projects providing technical assistance to the MEFI and Regional Administrations to enhance the institutional capacity (focused on the project targets)</w:t>
            </w:r>
          </w:p>
          <w:p w14:paraId="74FA57A2" w14:textId="51FAE23B" w:rsidR="00AA1287" w:rsidRPr="0096638D" w:rsidRDefault="00AA1287" w:rsidP="0096638D">
            <w:pPr>
              <w:pStyle w:val="ListParagraph"/>
              <w:numPr>
                <w:ilvl w:val="0"/>
                <w:numId w:val="24"/>
              </w:numPr>
              <w:ind w:left="286" w:hanging="283"/>
              <w:rPr>
                <w:rFonts w:ascii="Calibri" w:eastAsia="Times New Roman" w:hAnsi="Calibri" w:cs="Calibri"/>
                <w:color w:val="44546A"/>
              </w:rPr>
            </w:pPr>
            <w:r>
              <w:rPr>
                <w:rFonts w:ascii="Calibri" w:eastAsia="Times New Roman" w:hAnsi="Calibri" w:cs="Calibri"/>
                <w:color w:val="44546A"/>
              </w:rPr>
              <w:t>Work closely with the focal points of the key institutions and promote “on-the-job” capacity reinforcement support</w:t>
            </w:r>
          </w:p>
        </w:tc>
      </w:tr>
      <w:tr w:rsidR="004E6CCA" w14:paraId="4EBAC8AF" w14:textId="77777777" w:rsidTr="001B11FF">
        <w:tc>
          <w:tcPr>
            <w:tcW w:w="2552" w:type="dxa"/>
          </w:tcPr>
          <w:p w14:paraId="146B7F25" w14:textId="265B1CBD" w:rsidR="004E6CCA" w:rsidRDefault="00EA54BF" w:rsidP="0022718C">
            <w:pPr>
              <w:rPr>
                <w:rFonts w:ascii="Calibri" w:eastAsia="Times New Roman" w:hAnsi="Calibri" w:cs="Calibri"/>
                <w:color w:val="44546A"/>
              </w:rPr>
            </w:pPr>
            <w:r>
              <w:rPr>
                <w:rFonts w:ascii="Calibri" w:eastAsia="Times New Roman" w:hAnsi="Calibri" w:cs="Calibri"/>
                <w:color w:val="44546A"/>
              </w:rPr>
              <w:t>Local communities are not receptive enough</w:t>
            </w:r>
          </w:p>
        </w:tc>
        <w:tc>
          <w:tcPr>
            <w:tcW w:w="1701" w:type="dxa"/>
          </w:tcPr>
          <w:p w14:paraId="61215AE9" w14:textId="03D2A8E1" w:rsidR="004E6CCA" w:rsidRDefault="00EA54BF" w:rsidP="0022718C">
            <w:pPr>
              <w:rPr>
                <w:rFonts w:ascii="Calibri" w:eastAsia="Times New Roman" w:hAnsi="Calibri" w:cs="Calibri"/>
                <w:color w:val="44546A"/>
              </w:rPr>
            </w:pPr>
            <w:r>
              <w:rPr>
                <w:rFonts w:ascii="Calibri" w:eastAsia="Times New Roman" w:hAnsi="Calibri" w:cs="Calibri"/>
                <w:color w:val="44546A"/>
              </w:rPr>
              <w:t>Low</w:t>
            </w:r>
          </w:p>
        </w:tc>
        <w:tc>
          <w:tcPr>
            <w:tcW w:w="6379" w:type="dxa"/>
          </w:tcPr>
          <w:p w14:paraId="7AF972EC" w14:textId="1A8BF64B" w:rsidR="004E6CCA" w:rsidRPr="00FF2C42" w:rsidRDefault="0096638D" w:rsidP="0096638D">
            <w:pPr>
              <w:pStyle w:val="ListParagraph"/>
              <w:numPr>
                <w:ilvl w:val="0"/>
                <w:numId w:val="22"/>
              </w:numPr>
              <w:tabs>
                <w:tab w:val="left" w:pos="433"/>
              </w:tabs>
              <w:ind w:left="286" w:hanging="286"/>
              <w:rPr>
                <w:rFonts w:ascii="Calibri" w:eastAsia="Times New Roman" w:hAnsi="Calibri" w:cs="Calibri"/>
                <w:color w:val="44546A"/>
              </w:rPr>
            </w:pPr>
            <w:r>
              <w:rPr>
                <w:rFonts w:ascii="Calibri" w:eastAsia="Times New Roman" w:hAnsi="Calibri" w:cs="Calibri"/>
                <w:color w:val="44546A"/>
              </w:rPr>
              <w:t>Conduct community engagement sessions with the community members including the community leaders</w:t>
            </w:r>
          </w:p>
        </w:tc>
      </w:tr>
    </w:tbl>
    <w:p w14:paraId="4FA3BECD" w14:textId="77777777" w:rsidR="00326305" w:rsidRPr="0022718C" w:rsidRDefault="00326305" w:rsidP="0022718C">
      <w:pPr>
        <w:shd w:val="clear" w:color="auto" w:fill="FFFFFF" w:themeFill="background1"/>
        <w:spacing w:after="0" w:line="240" w:lineRule="auto"/>
        <w:ind w:left="-180" w:hanging="180"/>
        <w:rPr>
          <w:rFonts w:ascii="Calibri" w:eastAsia="Times New Roman" w:hAnsi="Calibri" w:cs="Calibri"/>
          <w:color w:val="44546A"/>
        </w:rPr>
      </w:pPr>
    </w:p>
    <w:p w14:paraId="5DBB88E1" w14:textId="6995AA19" w:rsidR="00A6146E" w:rsidRPr="00A6146E" w:rsidRDefault="00A6146E" w:rsidP="00A6146E">
      <w:pPr>
        <w:shd w:val="clear" w:color="auto" w:fill="D9E2F3" w:themeFill="accent1" w:themeFillTint="33"/>
        <w:spacing w:after="0" w:line="240" w:lineRule="auto"/>
        <w:ind w:left="-180" w:hanging="180"/>
        <w:rPr>
          <w:rFonts w:ascii="Calibri" w:eastAsia="Times New Roman" w:hAnsi="Calibri" w:cs="Calibri"/>
          <w:b/>
          <w:bCs/>
          <w:color w:val="44546A"/>
          <w:sz w:val="28"/>
          <w:szCs w:val="28"/>
        </w:rPr>
      </w:pPr>
      <w:r w:rsidRPr="00A6146E">
        <w:rPr>
          <w:rFonts w:ascii="Calibri" w:eastAsia="Times New Roman" w:hAnsi="Calibri" w:cs="Calibri"/>
          <w:b/>
          <w:bCs/>
          <w:color w:val="44546A"/>
          <w:sz w:val="28"/>
          <w:szCs w:val="28"/>
        </w:rPr>
        <w:t xml:space="preserve">Expected funds to be leveraged </w:t>
      </w:r>
    </w:p>
    <w:p w14:paraId="18763964" w14:textId="49C2F3BD" w:rsidR="00932B9D" w:rsidRPr="002E0FBB" w:rsidRDefault="00932B9D" w:rsidP="00932B9D">
      <w:pPr>
        <w:spacing w:before="100" w:after="0" w:line="240" w:lineRule="auto"/>
        <w:ind w:left="-360"/>
        <w:jc w:val="both"/>
        <w:rPr>
          <w:rFonts w:eastAsiaTheme="minorEastAsia" w:cstheme="minorHAnsi"/>
        </w:rPr>
      </w:pPr>
      <w:r>
        <w:rPr>
          <w:rFonts w:eastAsiaTheme="minorEastAsia" w:cstheme="minorHAnsi"/>
        </w:rPr>
        <w:t>U</w:t>
      </w:r>
      <w:r w:rsidRPr="002E0FBB">
        <w:rPr>
          <w:rFonts w:eastAsiaTheme="minorEastAsia" w:cstheme="minorHAnsi"/>
        </w:rPr>
        <w:t xml:space="preserve">pon the request from the government, UNDP is developing a </w:t>
      </w:r>
      <w:r w:rsidRPr="00932B9D">
        <w:rPr>
          <w:rFonts w:eastAsiaTheme="minorEastAsia" w:cstheme="minorHAnsi"/>
          <w:b/>
          <w:bCs/>
        </w:rPr>
        <w:t>comprehensive pipeline of USD 10 million</w:t>
      </w:r>
      <w:r w:rsidRPr="002E0FBB">
        <w:rPr>
          <w:rFonts w:eastAsiaTheme="minorEastAsia" w:cstheme="minorHAnsi"/>
        </w:rPr>
        <w:t xml:space="preserve"> which aims to </w:t>
      </w:r>
      <w:r w:rsidR="00FF2C42">
        <w:rPr>
          <w:rFonts w:eastAsiaTheme="minorEastAsia" w:cstheme="minorHAnsi"/>
        </w:rPr>
        <w:t>scale up</w:t>
      </w:r>
      <w:r w:rsidRPr="002E0FBB">
        <w:rPr>
          <w:rFonts w:eastAsiaTheme="minorEastAsia" w:cstheme="minorHAnsi"/>
        </w:rPr>
        <w:t xml:space="preserve"> SDG Financing with </w:t>
      </w:r>
      <w:r w:rsidR="00FF2C42">
        <w:rPr>
          <w:rFonts w:eastAsiaTheme="minorEastAsia" w:cstheme="minorHAnsi"/>
        </w:rPr>
        <w:t xml:space="preserve">a </w:t>
      </w:r>
      <w:r w:rsidRPr="002E0FBB">
        <w:rPr>
          <w:rFonts w:eastAsiaTheme="minorEastAsia" w:cstheme="minorHAnsi"/>
        </w:rPr>
        <w:t xml:space="preserve">meaningful and integrated development approach by engaging </w:t>
      </w:r>
      <w:r w:rsidR="00FF2C42">
        <w:rPr>
          <w:rFonts w:eastAsiaTheme="minorEastAsia" w:cstheme="minorHAnsi"/>
        </w:rPr>
        <w:t xml:space="preserve">the </w:t>
      </w:r>
      <w:r w:rsidRPr="002E0FBB">
        <w:rPr>
          <w:rFonts w:eastAsiaTheme="minorEastAsia" w:cstheme="minorHAnsi"/>
        </w:rPr>
        <w:t xml:space="preserve">private sector in key SDG investment areas in Djibouti. This project aims to support </w:t>
      </w:r>
      <w:r w:rsidR="00FF2C42">
        <w:rPr>
          <w:rFonts w:eastAsiaTheme="minorEastAsia" w:cstheme="minorHAnsi"/>
        </w:rPr>
        <w:t xml:space="preserve">the </w:t>
      </w:r>
      <w:r w:rsidRPr="002E0FBB">
        <w:rPr>
          <w:rFonts w:eastAsiaTheme="minorEastAsia" w:cstheme="minorHAnsi"/>
        </w:rPr>
        <w:t xml:space="preserve">implementation of the priorities highlighted in the NDP and contribute towards lasting transformative governance mechanisms and institutions for resilient economic growth and accelerated livelihood options. </w:t>
      </w:r>
      <w:r>
        <w:rPr>
          <w:rFonts w:eastAsiaTheme="minorEastAsia" w:cstheme="minorHAnsi"/>
        </w:rPr>
        <w:t xml:space="preserve">The Incubation Fund will be instrumental in </w:t>
      </w:r>
      <w:r>
        <w:rPr>
          <w:rFonts w:eastAsiaTheme="minorEastAsia" w:cstheme="minorHAnsi"/>
        </w:rPr>
        <w:lastRenderedPageBreak/>
        <w:t xml:space="preserve">developing enablers – tools for digitalization, monitoring and performance tracking and localizing SDGs. These enablers will have </w:t>
      </w:r>
      <w:r w:rsidR="00FF2C42">
        <w:rPr>
          <w:rFonts w:eastAsiaTheme="minorEastAsia" w:cstheme="minorHAnsi"/>
        </w:rPr>
        <w:t xml:space="preserve">a </w:t>
      </w:r>
      <w:r>
        <w:rPr>
          <w:rFonts w:eastAsiaTheme="minorEastAsia" w:cstheme="minorHAnsi"/>
        </w:rPr>
        <w:t xml:space="preserve">catalytic impact on the four </w:t>
      </w:r>
      <w:r w:rsidR="00FF2C42">
        <w:rPr>
          <w:rFonts w:eastAsiaTheme="minorEastAsia" w:cstheme="minorHAnsi"/>
        </w:rPr>
        <w:t>years-long</w:t>
      </w:r>
      <w:r>
        <w:rPr>
          <w:rFonts w:eastAsiaTheme="minorEastAsia" w:cstheme="minorHAnsi"/>
        </w:rPr>
        <w:t xml:space="preserve"> project that is being co-created with the government and potential donors (governments of the US, </w:t>
      </w:r>
      <w:proofErr w:type="gramStart"/>
      <w:r>
        <w:rPr>
          <w:rFonts w:eastAsiaTheme="minorEastAsia" w:cstheme="minorHAnsi"/>
        </w:rPr>
        <w:t>Canada</w:t>
      </w:r>
      <w:proofErr w:type="gramEnd"/>
      <w:r>
        <w:rPr>
          <w:rFonts w:eastAsiaTheme="minorEastAsia" w:cstheme="minorHAnsi"/>
        </w:rPr>
        <w:t xml:space="preserve"> and Norway).</w:t>
      </w:r>
    </w:p>
    <w:p w14:paraId="41825BE3" w14:textId="33317321" w:rsidR="00A6146E" w:rsidRDefault="00A6146E">
      <w:pPr>
        <w:rPr>
          <w:rFonts w:ascii="Calibri" w:eastAsia="Times New Roman" w:hAnsi="Calibri" w:cs="Calibri"/>
          <w:b/>
          <w:bCs/>
          <w:color w:val="44546A"/>
          <w:sz w:val="28"/>
          <w:szCs w:val="28"/>
        </w:rPr>
      </w:pPr>
      <w:r>
        <w:rPr>
          <w:rFonts w:ascii="Calibri" w:eastAsia="Times New Roman" w:hAnsi="Calibri" w:cs="Calibri"/>
          <w:b/>
          <w:bCs/>
          <w:color w:val="44546A"/>
          <w:sz w:val="28"/>
          <w:szCs w:val="28"/>
        </w:rPr>
        <w:br w:type="page"/>
      </w:r>
    </w:p>
    <w:p w14:paraId="408BDA79" w14:textId="77777777" w:rsidR="00A6146E" w:rsidRDefault="00A6146E" w:rsidP="00CD106D">
      <w:pPr>
        <w:shd w:val="clear" w:color="auto" w:fill="FFFFFF" w:themeFill="background1"/>
        <w:spacing w:after="0" w:line="240" w:lineRule="auto"/>
        <w:ind w:left="-180" w:hanging="180"/>
        <w:rPr>
          <w:rFonts w:ascii="Calibri" w:eastAsia="Times New Roman" w:hAnsi="Calibri" w:cs="Calibri"/>
          <w:b/>
          <w:bCs/>
          <w:color w:val="44546A"/>
          <w:sz w:val="28"/>
          <w:szCs w:val="28"/>
        </w:rPr>
        <w:sectPr w:rsidR="00A6146E" w:rsidSect="001B11FF">
          <w:pgSz w:w="12240" w:h="15840"/>
          <w:pgMar w:top="1440" w:right="1183" w:bottom="1276" w:left="1350" w:header="720" w:footer="720" w:gutter="0"/>
          <w:pgNumType w:start="1"/>
          <w:cols w:space="720"/>
          <w:docGrid w:linePitch="360"/>
        </w:sectPr>
      </w:pPr>
    </w:p>
    <w:p w14:paraId="0963EC74" w14:textId="7DA1F911" w:rsidR="009F1DDA" w:rsidRPr="00A42020" w:rsidRDefault="009F1DDA" w:rsidP="00A42020">
      <w:pPr>
        <w:shd w:val="clear" w:color="auto" w:fill="D9E2F3" w:themeFill="accent1" w:themeFillTint="33"/>
        <w:spacing w:after="0" w:line="240" w:lineRule="auto"/>
        <w:ind w:left="-180" w:hanging="180"/>
        <w:rPr>
          <w:rFonts w:ascii="Calibri" w:eastAsia="Times New Roman" w:hAnsi="Calibri" w:cs="Calibri"/>
          <w:b/>
          <w:bCs/>
          <w:color w:val="44546A"/>
          <w:sz w:val="28"/>
          <w:szCs w:val="28"/>
        </w:rPr>
      </w:pPr>
      <w:r w:rsidRPr="00A42020">
        <w:rPr>
          <w:rFonts w:ascii="Calibri" w:eastAsia="Times New Roman" w:hAnsi="Calibri" w:cs="Calibri"/>
          <w:b/>
          <w:bCs/>
          <w:color w:val="44546A"/>
          <w:sz w:val="28"/>
          <w:szCs w:val="28"/>
        </w:rPr>
        <w:lastRenderedPageBreak/>
        <w:t xml:space="preserve">BUDGET / WORKPLAN </w:t>
      </w:r>
    </w:p>
    <w:p w14:paraId="6B654EE6" w14:textId="565A3E37" w:rsidR="00FE298B" w:rsidRDefault="00FE298B" w:rsidP="00FE298B">
      <w:pPr>
        <w:jc w:val="both"/>
        <w:rPr>
          <w:rFonts w:ascii="Calibri" w:eastAsia="Times New Roman" w:hAnsi="Calibri" w:cs="Calibri"/>
          <w:color w:val="44546A"/>
          <w:sz w:val="24"/>
          <w:szCs w:val="24"/>
        </w:rPr>
      </w:pPr>
    </w:p>
    <w:tbl>
      <w:tblPr>
        <w:tblStyle w:val="TableGrid"/>
        <w:tblW w:w="14228" w:type="dxa"/>
        <w:tblInd w:w="-635" w:type="dxa"/>
        <w:tblLayout w:type="fixed"/>
        <w:tblLook w:val="04A0" w:firstRow="1" w:lastRow="0" w:firstColumn="1" w:lastColumn="0" w:noHBand="0" w:noVBand="1"/>
      </w:tblPr>
      <w:tblGrid>
        <w:gridCol w:w="1754"/>
        <w:gridCol w:w="5103"/>
        <w:gridCol w:w="498"/>
        <w:gridCol w:w="480"/>
        <w:gridCol w:w="507"/>
        <w:gridCol w:w="483"/>
        <w:gridCol w:w="584"/>
        <w:gridCol w:w="829"/>
        <w:gridCol w:w="1155"/>
        <w:gridCol w:w="1559"/>
        <w:gridCol w:w="1276"/>
      </w:tblGrid>
      <w:tr w:rsidR="00B3589F" w:rsidRPr="009935E2" w14:paraId="156AEE6B" w14:textId="77777777" w:rsidTr="00DD3F14">
        <w:trPr>
          <w:trHeight w:val="288"/>
          <w:tblHeader/>
        </w:trPr>
        <w:tc>
          <w:tcPr>
            <w:tcW w:w="1754" w:type="dxa"/>
            <w:vMerge w:val="restart"/>
            <w:tcBorders>
              <w:top w:val="single" w:sz="12" w:space="0" w:color="auto"/>
              <w:left w:val="single" w:sz="12" w:space="0" w:color="auto"/>
            </w:tcBorders>
            <w:hideMark/>
          </w:tcPr>
          <w:p w14:paraId="4E660EDD" w14:textId="77777777" w:rsidR="00B3589F" w:rsidRPr="009935E2" w:rsidRDefault="00B3589F" w:rsidP="00425F4F">
            <w:pPr>
              <w:rPr>
                <w:b/>
                <w:bCs/>
                <w:sz w:val="18"/>
                <w:szCs w:val="18"/>
              </w:rPr>
            </w:pPr>
            <w:r w:rsidRPr="009935E2">
              <w:rPr>
                <w:b/>
                <w:bCs/>
                <w:sz w:val="18"/>
                <w:szCs w:val="18"/>
              </w:rPr>
              <w:t>Expected Outputs</w:t>
            </w:r>
          </w:p>
        </w:tc>
        <w:tc>
          <w:tcPr>
            <w:tcW w:w="5103" w:type="dxa"/>
            <w:vMerge w:val="restart"/>
            <w:tcBorders>
              <w:top w:val="single" w:sz="12" w:space="0" w:color="auto"/>
              <w:right w:val="single" w:sz="12" w:space="0" w:color="auto"/>
            </w:tcBorders>
            <w:hideMark/>
          </w:tcPr>
          <w:p w14:paraId="3C550F19" w14:textId="77777777" w:rsidR="00B3589F" w:rsidRPr="009935E2" w:rsidRDefault="00B3589F" w:rsidP="00425F4F">
            <w:pPr>
              <w:rPr>
                <w:b/>
                <w:bCs/>
                <w:sz w:val="18"/>
                <w:szCs w:val="18"/>
              </w:rPr>
            </w:pPr>
            <w:r w:rsidRPr="009935E2">
              <w:rPr>
                <w:b/>
                <w:bCs/>
                <w:sz w:val="18"/>
                <w:szCs w:val="18"/>
              </w:rPr>
              <w:t>Planned Activities</w:t>
            </w:r>
          </w:p>
        </w:tc>
        <w:tc>
          <w:tcPr>
            <w:tcW w:w="1485" w:type="dxa"/>
            <w:gridSpan w:val="3"/>
            <w:tcBorders>
              <w:top w:val="single" w:sz="12" w:space="0" w:color="auto"/>
              <w:left w:val="single" w:sz="12" w:space="0" w:color="auto"/>
              <w:bottom w:val="single" w:sz="2" w:space="0" w:color="auto"/>
              <w:right w:val="single" w:sz="2" w:space="0" w:color="auto"/>
            </w:tcBorders>
            <w:noWrap/>
            <w:hideMark/>
          </w:tcPr>
          <w:p w14:paraId="2631119E" w14:textId="77777777" w:rsidR="00B3589F" w:rsidRPr="009935E2" w:rsidRDefault="00B3589F" w:rsidP="00425F4F">
            <w:pPr>
              <w:jc w:val="center"/>
              <w:rPr>
                <w:b/>
                <w:bCs/>
                <w:sz w:val="18"/>
                <w:szCs w:val="18"/>
              </w:rPr>
            </w:pPr>
            <w:r w:rsidRPr="009935E2">
              <w:rPr>
                <w:b/>
                <w:bCs/>
                <w:sz w:val="18"/>
                <w:szCs w:val="18"/>
              </w:rPr>
              <w:t>2022</w:t>
            </w:r>
          </w:p>
        </w:tc>
        <w:tc>
          <w:tcPr>
            <w:tcW w:w="1067" w:type="dxa"/>
            <w:gridSpan w:val="2"/>
            <w:tcBorders>
              <w:top w:val="single" w:sz="12" w:space="0" w:color="auto"/>
              <w:left w:val="single" w:sz="2" w:space="0" w:color="auto"/>
              <w:bottom w:val="single" w:sz="2" w:space="0" w:color="auto"/>
              <w:right w:val="single" w:sz="12" w:space="0" w:color="auto"/>
            </w:tcBorders>
          </w:tcPr>
          <w:p w14:paraId="0C88E698" w14:textId="68FAEC1C" w:rsidR="00B3589F" w:rsidRPr="009935E2" w:rsidRDefault="00B3589F" w:rsidP="00425F4F">
            <w:pPr>
              <w:jc w:val="center"/>
              <w:rPr>
                <w:b/>
                <w:bCs/>
                <w:sz w:val="18"/>
                <w:szCs w:val="18"/>
              </w:rPr>
            </w:pPr>
            <w:r w:rsidRPr="009935E2">
              <w:rPr>
                <w:b/>
                <w:bCs/>
                <w:sz w:val="18"/>
                <w:szCs w:val="18"/>
              </w:rPr>
              <w:t>2023</w:t>
            </w:r>
          </w:p>
        </w:tc>
        <w:tc>
          <w:tcPr>
            <w:tcW w:w="829" w:type="dxa"/>
            <w:vMerge w:val="restart"/>
            <w:tcBorders>
              <w:top w:val="single" w:sz="12" w:space="0" w:color="auto"/>
              <w:left w:val="single" w:sz="12" w:space="0" w:color="auto"/>
            </w:tcBorders>
            <w:hideMark/>
          </w:tcPr>
          <w:p w14:paraId="461F94DC" w14:textId="77777777" w:rsidR="00B3589F" w:rsidRPr="009935E2" w:rsidRDefault="00B3589F" w:rsidP="00425F4F">
            <w:pPr>
              <w:jc w:val="center"/>
              <w:rPr>
                <w:b/>
                <w:bCs/>
                <w:sz w:val="18"/>
                <w:szCs w:val="18"/>
              </w:rPr>
            </w:pPr>
            <w:r w:rsidRPr="009935E2">
              <w:rPr>
                <w:b/>
                <w:bCs/>
                <w:sz w:val="18"/>
                <w:szCs w:val="18"/>
              </w:rPr>
              <w:t>Resp. Party</w:t>
            </w:r>
          </w:p>
        </w:tc>
        <w:tc>
          <w:tcPr>
            <w:tcW w:w="3990" w:type="dxa"/>
            <w:gridSpan w:val="3"/>
            <w:tcBorders>
              <w:top w:val="single" w:sz="12" w:space="0" w:color="auto"/>
              <w:right w:val="single" w:sz="12" w:space="0" w:color="auto"/>
            </w:tcBorders>
            <w:noWrap/>
            <w:hideMark/>
          </w:tcPr>
          <w:p w14:paraId="449EA69F" w14:textId="77777777" w:rsidR="00B3589F" w:rsidRPr="009935E2" w:rsidRDefault="00B3589F" w:rsidP="00425F4F">
            <w:pPr>
              <w:jc w:val="center"/>
              <w:rPr>
                <w:b/>
                <w:bCs/>
                <w:sz w:val="18"/>
                <w:szCs w:val="18"/>
              </w:rPr>
            </w:pPr>
            <w:r w:rsidRPr="009935E2">
              <w:rPr>
                <w:b/>
                <w:bCs/>
                <w:sz w:val="18"/>
                <w:szCs w:val="18"/>
              </w:rPr>
              <w:t>Planned Budget</w:t>
            </w:r>
          </w:p>
        </w:tc>
      </w:tr>
      <w:tr w:rsidR="00B3589F" w:rsidRPr="009935E2" w14:paraId="4AA91B4E" w14:textId="77777777" w:rsidTr="00B3589F">
        <w:trPr>
          <w:trHeight w:val="480"/>
        </w:trPr>
        <w:tc>
          <w:tcPr>
            <w:tcW w:w="1754" w:type="dxa"/>
            <w:vMerge/>
            <w:tcBorders>
              <w:left w:val="single" w:sz="12" w:space="0" w:color="auto"/>
              <w:bottom w:val="single" w:sz="12" w:space="0" w:color="auto"/>
            </w:tcBorders>
            <w:hideMark/>
          </w:tcPr>
          <w:p w14:paraId="42492B61" w14:textId="77777777" w:rsidR="00B3589F" w:rsidRPr="009935E2" w:rsidRDefault="00B3589F" w:rsidP="00425F4F">
            <w:pPr>
              <w:rPr>
                <w:b/>
                <w:bCs/>
                <w:sz w:val="18"/>
                <w:szCs w:val="18"/>
              </w:rPr>
            </w:pPr>
          </w:p>
        </w:tc>
        <w:tc>
          <w:tcPr>
            <w:tcW w:w="5103" w:type="dxa"/>
            <w:vMerge/>
            <w:tcBorders>
              <w:bottom w:val="single" w:sz="12" w:space="0" w:color="auto"/>
              <w:right w:val="single" w:sz="12" w:space="0" w:color="auto"/>
            </w:tcBorders>
            <w:hideMark/>
          </w:tcPr>
          <w:p w14:paraId="0C11FE09" w14:textId="77777777" w:rsidR="00B3589F" w:rsidRPr="009935E2" w:rsidRDefault="00B3589F" w:rsidP="00425F4F">
            <w:pPr>
              <w:rPr>
                <w:b/>
                <w:bCs/>
                <w:sz w:val="18"/>
                <w:szCs w:val="18"/>
              </w:rPr>
            </w:pPr>
          </w:p>
        </w:tc>
        <w:tc>
          <w:tcPr>
            <w:tcW w:w="498" w:type="dxa"/>
            <w:tcBorders>
              <w:top w:val="single" w:sz="2" w:space="0" w:color="auto"/>
              <w:left w:val="single" w:sz="12" w:space="0" w:color="auto"/>
              <w:bottom w:val="single" w:sz="12" w:space="0" w:color="auto"/>
              <w:right w:val="single" w:sz="2" w:space="0" w:color="auto"/>
            </w:tcBorders>
            <w:hideMark/>
          </w:tcPr>
          <w:p w14:paraId="294B51EC" w14:textId="77777777" w:rsidR="00B3589F" w:rsidRPr="009935E2" w:rsidRDefault="00B3589F" w:rsidP="00425F4F">
            <w:pPr>
              <w:rPr>
                <w:b/>
                <w:bCs/>
                <w:sz w:val="18"/>
                <w:szCs w:val="18"/>
              </w:rPr>
            </w:pPr>
            <w:r w:rsidRPr="009935E2">
              <w:rPr>
                <w:b/>
                <w:bCs/>
                <w:sz w:val="18"/>
                <w:szCs w:val="18"/>
              </w:rPr>
              <w:t>Q2</w:t>
            </w:r>
          </w:p>
        </w:tc>
        <w:tc>
          <w:tcPr>
            <w:tcW w:w="480" w:type="dxa"/>
            <w:tcBorders>
              <w:top w:val="single" w:sz="2" w:space="0" w:color="auto"/>
              <w:left w:val="single" w:sz="2" w:space="0" w:color="auto"/>
              <w:bottom w:val="single" w:sz="12" w:space="0" w:color="auto"/>
              <w:right w:val="single" w:sz="2" w:space="0" w:color="auto"/>
            </w:tcBorders>
            <w:hideMark/>
          </w:tcPr>
          <w:p w14:paraId="49929C7B" w14:textId="77777777" w:rsidR="00B3589F" w:rsidRPr="009935E2" w:rsidRDefault="00B3589F" w:rsidP="00425F4F">
            <w:pPr>
              <w:rPr>
                <w:b/>
                <w:bCs/>
                <w:sz w:val="18"/>
                <w:szCs w:val="18"/>
              </w:rPr>
            </w:pPr>
            <w:r w:rsidRPr="009935E2">
              <w:rPr>
                <w:b/>
                <w:bCs/>
                <w:sz w:val="18"/>
                <w:szCs w:val="18"/>
              </w:rPr>
              <w:t>Q3</w:t>
            </w:r>
          </w:p>
        </w:tc>
        <w:tc>
          <w:tcPr>
            <w:tcW w:w="507" w:type="dxa"/>
            <w:tcBorders>
              <w:top w:val="single" w:sz="2" w:space="0" w:color="auto"/>
              <w:left w:val="single" w:sz="2" w:space="0" w:color="auto"/>
              <w:bottom w:val="single" w:sz="12" w:space="0" w:color="auto"/>
              <w:right w:val="single" w:sz="2" w:space="0" w:color="auto"/>
            </w:tcBorders>
            <w:hideMark/>
          </w:tcPr>
          <w:p w14:paraId="1889FB0B" w14:textId="77777777" w:rsidR="00B3589F" w:rsidRPr="009935E2" w:rsidRDefault="00B3589F" w:rsidP="00425F4F">
            <w:pPr>
              <w:rPr>
                <w:b/>
                <w:bCs/>
                <w:sz w:val="18"/>
                <w:szCs w:val="18"/>
              </w:rPr>
            </w:pPr>
            <w:r w:rsidRPr="009935E2">
              <w:rPr>
                <w:b/>
                <w:bCs/>
                <w:sz w:val="18"/>
                <w:szCs w:val="18"/>
              </w:rPr>
              <w:t>Q4</w:t>
            </w:r>
          </w:p>
        </w:tc>
        <w:tc>
          <w:tcPr>
            <w:tcW w:w="483" w:type="dxa"/>
            <w:tcBorders>
              <w:top w:val="single" w:sz="2" w:space="0" w:color="auto"/>
              <w:left w:val="single" w:sz="2" w:space="0" w:color="auto"/>
              <w:bottom w:val="single" w:sz="12" w:space="0" w:color="auto"/>
              <w:right w:val="single" w:sz="2" w:space="0" w:color="auto"/>
            </w:tcBorders>
            <w:hideMark/>
          </w:tcPr>
          <w:p w14:paraId="00709F1B" w14:textId="77777777" w:rsidR="00B3589F" w:rsidRPr="009935E2" w:rsidRDefault="00B3589F" w:rsidP="00425F4F">
            <w:pPr>
              <w:rPr>
                <w:b/>
                <w:bCs/>
                <w:sz w:val="18"/>
                <w:szCs w:val="18"/>
              </w:rPr>
            </w:pPr>
            <w:r w:rsidRPr="009935E2">
              <w:rPr>
                <w:b/>
                <w:bCs/>
                <w:sz w:val="18"/>
                <w:szCs w:val="18"/>
              </w:rPr>
              <w:t>Q1</w:t>
            </w:r>
          </w:p>
        </w:tc>
        <w:tc>
          <w:tcPr>
            <w:tcW w:w="584" w:type="dxa"/>
            <w:tcBorders>
              <w:top w:val="single" w:sz="2" w:space="0" w:color="auto"/>
              <w:left w:val="single" w:sz="2" w:space="0" w:color="auto"/>
              <w:bottom w:val="single" w:sz="12" w:space="0" w:color="auto"/>
              <w:right w:val="single" w:sz="2" w:space="0" w:color="auto"/>
            </w:tcBorders>
            <w:hideMark/>
          </w:tcPr>
          <w:p w14:paraId="7B947492" w14:textId="77777777" w:rsidR="00B3589F" w:rsidRPr="009935E2" w:rsidRDefault="00B3589F" w:rsidP="00425F4F">
            <w:pPr>
              <w:rPr>
                <w:b/>
                <w:bCs/>
                <w:sz w:val="18"/>
                <w:szCs w:val="18"/>
              </w:rPr>
            </w:pPr>
            <w:r w:rsidRPr="009935E2">
              <w:rPr>
                <w:b/>
                <w:bCs/>
                <w:sz w:val="18"/>
                <w:szCs w:val="18"/>
              </w:rPr>
              <w:t>Q2</w:t>
            </w:r>
          </w:p>
        </w:tc>
        <w:tc>
          <w:tcPr>
            <w:tcW w:w="829" w:type="dxa"/>
            <w:vMerge/>
            <w:tcBorders>
              <w:left w:val="single" w:sz="12" w:space="0" w:color="auto"/>
              <w:bottom w:val="single" w:sz="12" w:space="0" w:color="auto"/>
            </w:tcBorders>
            <w:hideMark/>
          </w:tcPr>
          <w:p w14:paraId="4EC016D0" w14:textId="77777777" w:rsidR="00B3589F" w:rsidRPr="009935E2" w:rsidRDefault="00B3589F" w:rsidP="00425F4F">
            <w:pPr>
              <w:rPr>
                <w:b/>
                <w:bCs/>
                <w:sz w:val="18"/>
                <w:szCs w:val="18"/>
              </w:rPr>
            </w:pPr>
          </w:p>
        </w:tc>
        <w:tc>
          <w:tcPr>
            <w:tcW w:w="1155" w:type="dxa"/>
            <w:tcBorders>
              <w:bottom w:val="single" w:sz="12" w:space="0" w:color="auto"/>
            </w:tcBorders>
            <w:hideMark/>
          </w:tcPr>
          <w:p w14:paraId="3A3805E0" w14:textId="77777777" w:rsidR="00B3589F" w:rsidRPr="009935E2" w:rsidRDefault="00B3589F" w:rsidP="009935E2">
            <w:pPr>
              <w:jc w:val="center"/>
              <w:rPr>
                <w:b/>
                <w:bCs/>
                <w:sz w:val="18"/>
                <w:szCs w:val="18"/>
              </w:rPr>
            </w:pPr>
            <w:r w:rsidRPr="009935E2">
              <w:rPr>
                <w:b/>
                <w:bCs/>
                <w:sz w:val="18"/>
                <w:szCs w:val="18"/>
              </w:rPr>
              <w:t>Source of funds</w:t>
            </w:r>
          </w:p>
        </w:tc>
        <w:tc>
          <w:tcPr>
            <w:tcW w:w="1559" w:type="dxa"/>
            <w:tcBorders>
              <w:bottom w:val="single" w:sz="12" w:space="0" w:color="auto"/>
            </w:tcBorders>
            <w:hideMark/>
          </w:tcPr>
          <w:p w14:paraId="124633D3" w14:textId="77777777" w:rsidR="00B3589F" w:rsidRPr="009935E2" w:rsidRDefault="00B3589F" w:rsidP="009935E2">
            <w:pPr>
              <w:jc w:val="center"/>
              <w:rPr>
                <w:b/>
                <w:bCs/>
                <w:sz w:val="18"/>
                <w:szCs w:val="18"/>
              </w:rPr>
            </w:pPr>
            <w:r w:rsidRPr="009935E2">
              <w:rPr>
                <w:b/>
                <w:bCs/>
                <w:sz w:val="18"/>
                <w:szCs w:val="18"/>
              </w:rPr>
              <w:t>Budget Description</w:t>
            </w:r>
          </w:p>
        </w:tc>
        <w:tc>
          <w:tcPr>
            <w:tcW w:w="1276" w:type="dxa"/>
            <w:tcBorders>
              <w:bottom w:val="single" w:sz="12" w:space="0" w:color="auto"/>
              <w:right w:val="single" w:sz="12" w:space="0" w:color="auto"/>
            </w:tcBorders>
            <w:hideMark/>
          </w:tcPr>
          <w:p w14:paraId="2A3EEA23" w14:textId="779AB0F1" w:rsidR="00B3589F" w:rsidRPr="009935E2" w:rsidRDefault="00B3589F" w:rsidP="009935E2">
            <w:pPr>
              <w:jc w:val="center"/>
              <w:rPr>
                <w:b/>
                <w:bCs/>
                <w:sz w:val="18"/>
                <w:szCs w:val="18"/>
              </w:rPr>
            </w:pPr>
            <w:r w:rsidRPr="009935E2">
              <w:rPr>
                <w:b/>
                <w:bCs/>
                <w:sz w:val="18"/>
                <w:szCs w:val="18"/>
              </w:rPr>
              <w:t>Amount</w:t>
            </w:r>
          </w:p>
        </w:tc>
      </w:tr>
      <w:tr w:rsidR="00B3589F" w:rsidRPr="009935E2" w14:paraId="07D96B77" w14:textId="77777777" w:rsidTr="00B3589F">
        <w:trPr>
          <w:trHeight w:val="816"/>
        </w:trPr>
        <w:tc>
          <w:tcPr>
            <w:tcW w:w="1754" w:type="dxa"/>
            <w:vMerge w:val="restart"/>
            <w:tcBorders>
              <w:top w:val="single" w:sz="12" w:space="0" w:color="auto"/>
              <w:left w:val="single" w:sz="12" w:space="0" w:color="auto"/>
            </w:tcBorders>
          </w:tcPr>
          <w:p w14:paraId="548949F7" w14:textId="77777777" w:rsidR="00B3589F" w:rsidRPr="009935E2" w:rsidRDefault="00B3589F" w:rsidP="00425F4F">
            <w:pPr>
              <w:rPr>
                <w:b/>
                <w:bCs/>
                <w:sz w:val="18"/>
                <w:szCs w:val="18"/>
              </w:rPr>
            </w:pPr>
            <w:r w:rsidRPr="009935E2">
              <w:rPr>
                <w:b/>
                <w:bCs/>
                <w:sz w:val="18"/>
                <w:szCs w:val="18"/>
              </w:rPr>
              <w:t xml:space="preserve">Output 1: </w:t>
            </w:r>
            <w:r w:rsidRPr="009935E2">
              <w:rPr>
                <w:rFonts w:ascii="Calibri" w:eastAsia="Times New Roman" w:hAnsi="Calibri" w:cs="Calibri"/>
                <w:b/>
                <w:bCs/>
                <w:sz w:val="18"/>
                <w:szCs w:val="18"/>
              </w:rPr>
              <w:t>Enabling Transformative Governance Mechanism Created</w:t>
            </w:r>
          </w:p>
        </w:tc>
        <w:tc>
          <w:tcPr>
            <w:tcW w:w="5103" w:type="dxa"/>
            <w:tcBorders>
              <w:top w:val="single" w:sz="12" w:space="0" w:color="auto"/>
              <w:right w:val="single" w:sz="12" w:space="0" w:color="auto"/>
            </w:tcBorders>
          </w:tcPr>
          <w:p w14:paraId="31E75F46" w14:textId="58510E51" w:rsidR="00B3589F" w:rsidRPr="009935E2" w:rsidRDefault="00B3589F" w:rsidP="00425F4F">
            <w:pPr>
              <w:shd w:val="clear" w:color="auto" w:fill="FFFFFF" w:themeFill="background1"/>
              <w:rPr>
                <w:rFonts w:ascii="Calibri" w:eastAsia="Times New Roman" w:hAnsi="Calibri" w:cs="Calibri"/>
                <w:sz w:val="18"/>
                <w:szCs w:val="18"/>
              </w:rPr>
            </w:pPr>
            <w:r>
              <w:rPr>
                <w:rFonts w:ascii="Calibri" w:eastAsia="Times New Roman" w:hAnsi="Calibri" w:cs="Calibri"/>
                <w:sz w:val="18"/>
                <w:szCs w:val="18"/>
              </w:rPr>
              <w:t xml:space="preserve">Activity 1.1. </w:t>
            </w:r>
            <w:r w:rsidRPr="009935E2">
              <w:rPr>
                <w:rFonts w:ascii="Calibri" w:eastAsia="Times New Roman" w:hAnsi="Calibri" w:cs="Calibri"/>
                <w:sz w:val="18"/>
                <w:szCs w:val="18"/>
              </w:rPr>
              <w:t xml:space="preserve">Develop </w:t>
            </w:r>
            <w:r w:rsidRPr="009935E2">
              <w:rPr>
                <w:rFonts w:ascii="Calibri" w:eastAsia="Times New Roman" w:hAnsi="Calibri" w:cs="Calibri"/>
                <w:b/>
                <w:bCs/>
                <w:sz w:val="18"/>
                <w:szCs w:val="18"/>
              </w:rPr>
              <w:t xml:space="preserve">a </w:t>
            </w:r>
            <w:r>
              <w:rPr>
                <w:rFonts w:ascii="Calibri" w:eastAsia="Times New Roman" w:hAnsi="Calibri" w:cs="Calibri"/>
                <w:b/>
                <w:bCs/>
                <w:sz w:val="18"/>
                <w:szCs w:val="18"/>
              </w:rPr>
              <w:t xml:space="preserve">Regional </w:t>
            </w:r>
            <w:r w:rsidRPr="009935E2">
              <w:rPr>
                <w:rFonts w:ascii="Calibri" w:eastAsia="Times New Roman" w:hAnsi="Calibri" w:cs="Calibri"/>
                <w:b/>
                <w:bCs/>
                <w:sz w:val="18"/>
                <w:szCs w:val="18"/>
              </w:rPr>
              <w:t>digital database platform</w:t>
            </w:r>
            <w:r w:rsidRPr="009935E2">
              <w:rPr>
                <w:rFonts w:ascii="Calibri" w:eastAsia="Times New Roman" w:hAnsi="Calibri" w:cs="Calibri"/>
                <w:sz w:val="18"/>
                <w:szCs w:val="18"/>
              </w:rPr>
              <w:t xml:space="preserve"> to address the current challenges of data gaps</w:t>
            </w:r>
            <w:r>
              <w:rPr>
                <w:rFonts w:ascii="Calibri" w:eastAsia="Times New Roman" w:hAnsi="Calibri" w:cs="Calibri"/>
                <w:sz w:val="18"/>
                <w:szCs w:val="18"/>
              </w:rPr>
              <w:t xml:space="preserve"> at the regional level</w:t>
            </w:r>
            <w:r w:rsidRPr="009935E2">
              <w:rPr>
                <w:rFonts w:ascii="Calibri" w:eastAsia="Times New Roman" w:hAnsi="Calibri" w:cs="Calibri"/>
                <w:sz w:val="18"/>
                <w:szCs w:val="18"/>
              </w:rPr>
              <w:t xml:space="preserve"> by reinforcing existing data collection, analysis, sharing and utilization mechanisms among the government and development partners </w:t>
            </w:r>
          </w:p>
        </w:tc>
        <w:tc>
          <w:tcPr>
            <w:tcW w:w="498" w:type="dxa"/>
            <w:tcBorders>
              <w:top w:val="single" w:sz="12" w:space="0" w:color="auto"/>
              <w:left w:val="single" w:sz="12" w:space="0" w:color="auto"/>
              <w:bottom w:val="single" w:sz="2" w:space="0" w:color="auto"/>
              <w:right w:val="single" w:sz="2" w:space="0" w:color="auto"/>
            </w:tcBorders>
            <w:shd w:val="clear" w:color="auto" w:fill="B4C6E7" w:themeFill="accent1" w:themeFillTint="66"/>
          </w:tcPr>
          <w:p w14:paraId="143ED267" w14:textId="77777777" w:rsidR="00B3589F" w:rsidRPr="009935E2" w:rsidRDefault="00B3589F" w:rsidP="00425F4F">
            <w:pPr>
              <w:rPr>
                <w:sz w:val="18"/>
                <w:szCs w:val="18"/>
              </w:rPr>
            </w:pPr>
          </w:p>
        </w:tc>
        <w:tc>
          <w:tcPr>
            <w:tcW w:w="480" w:type="dxa"/>
            <w:tcBorders>
              <w:top w:val="single" w:sz="12" w:space="0" w:color="auto"/>
              <w:left w:val="single" w:sz="2" w:space="0" w:color="auto"/>
              <w:bottom w:val="single" w:sz="2" w:space="0" w:color="auto"/>
              <w:right w:val="single" w:sz="2" w:space="0" w:color="auto"/>
            </w:tcBorders>
            <w:shd w:val="clear" w:color="auto" w:fill="B4C6E7" w:themeFill="accent1" w:themeFillTint="66"/>
          </w:tcPr>
          <w:p w14:paraId="491A8851" w14:textId="77777777" w:rsidR="00B3589F" w:rsidRPr="009935E2" w:rsidRDefault="00B3589F" w:rsidP="00425F4F">
            <w:pPr>
              <w:rPr>
                <w:sz w:val="18"/>
                <w:szCs w:val="18"/>
              </w:rPr>
            </w:pPr>
          </w:p>
        </w:tc>
        <w:tc>
          <w:tcPr>
            <w:tcW w:w="507" w:type="dxa"/>
            <w:tcBorders>
              <w:top w:val="single" w:sz="12" w:space="0" w:color="auto"/>
              <w:left w:val="single" w:sz="2" w:space="0" w:color="auto"/>
              <w:bottom w:val="single" w:sz="2" w:space="0" w:color="auto"/>
              <w:right w:val="single" w:sz="2" w:space="0" w:color="auto"/>
            </w:tcBorders>
            <w:shd w:val="clear" w:color="auto" w:fill="B4C6E7" w:themeFill="accent1" w:themeFillTint="66"/>
          </w:tcPr>
          <w:p w14:paraId="19EC6F88" w14:textId="77777777" w:rsidR="00B3589F" w:rsidRPr="009935E2" w:rsidRDefault="00B3589F" w:rsidP="00425F4F">
            <w:pPr>
              <w:rPr>
                <w:sz w:val="18"/>
                <w:szCs w:val="18"/>
              </w:rPr>
            </w:pPr>
          </w:p>
        </w:tc>
        <w:tc>
          <w:tcPr>
            <w:tcW w:w="483" w:type="dxa"/>
            <w:tcBorders>
              <w:top w:val="single" w:sz="12" w:space="0" w:color="auto"/>
              <w:left w:val="single" w:sz="2" w:space="0" w:color="auto"/>
              <w:bottom w:val="single" w:sz="2" w:space="0" w:color="auto"/>
              <w:right w:val="single" w:sz="2" w:space="0" w:color="auto"/>
            </w:tcBorders>
          </w:tcPr>
          <w:p w14:paraId="1E7F81A9" w14:textId="77777777" w:rsidR="00B3589F" w:rsidRPr="009935E2" w:rsidRDefault="00B3589F" w:rsidP="00425F4F">
            <w:pPr>
              <w:rPr>
                <w:sz w:val="18"/>
                <w:szCs w:val="18"/>
              </w:rPr>
            </w:pPr>
          </w:p>
        </w:tc>
        <w:tc>
          <w:tcPr>
            <w:tcW w:w="584" w:type="dxa"/>
            <w:tcBorders>
              <w:top w:val="single" w:sz="12" w:space="0" w:color="auto"/>
              <w:left w:val="single" w:sz="2" w:space="0" w:color="auto"/>
              <w:bottom w:val="single" w:sz="2" w:space="0" w:color="auto"/>
              <w:right w:val="single" w:sz="2" w:space="0" w:color="auto"/>
            </w:tcBorders>
          </w:tcPr>
          <w:p w14:paraId="1C9DEE4A" w14:textId="77777777" w:rsidR="00B3589F" w:rsidRPr="009935E2" w:rsidRDefault="00B3589F" w:rsidP="00425F4F">
            <w:pPr>
              <w:rPr>
                <w:sz w:val="18"/>
                <w:szCs w:val="18"/>
              </w:rPr>
            </w:pPr>
          </w:p>
        </w:tc>
        <w:tc>
          <w:tcPr>
            <w:tcW w:w="829" w:type="dxa"/>
            <w:tcBorders>
              <w:top w:val="single" w:sz="12" w:space="0" w:color="auto"/>
              <w:left w:val="single" w:sz="12" w:space="0" w:color="auto"/>
            </w:tcBorders>
          </w:tcPr>
          <w:p w14:paraId="1DA498C5" w14:textId="77777777" w:rsidR="00B3589F" w:rsidRPr="009935E2" w:rsidRDefault="00B3589F" w:rsidP="00425F4F">
            <w:pPr>
              <w:rPr>
                <w:sz w:val="18"/>
                <w:szCs w:val="18"/>
              </w:rPr>
            </w:pPr>
            <w:r w:rsidRPr="009935E2">
              <w:rPr>
                <w:sz w:val="18"/>
                <w:szCs w:val="18"/>
              </w:rPr>
              <w:t>UNDP</w:t>
            </w:r>
          </w:p>
        </w:tc>
        <w:tc>
          <w:tcPr>
            <w:tcW w:w="1155" w:type="dxa"/>
            <w:tcBorders>
              <w:top w:val="single" w:sz="12" w:space="0" w:color="auto"/>
            </w:tcBorders>
          </w:tcPr>
          <w:p w14:paraId="4E857324" w14:textId="77777777" w:rsidR="00B3589F" w:rsidRPr="009935E2" w:rsidRDefault="00B3589F" w:rsidP="00425F4F">
            <w:pPr>
              <w:rPr>
                <w:sz w:val="18"/>
                <w:szCs w:val="18"/>
              </w:rPr>
            </w:pPr>
            <w:r w:rsidRPr="009935E2">
              <w:rPr>
                <w:sz w:val="18"/>
                <w:szCs w:val="18"/>
              </w:rPr>
              <w:t>Incubation Fund</w:t>
            </w:r>
          </w:p>
        </w:tc>
        <w:tc>
          <w:tcPr>
            <w:tcW w:w="1559" w:type="dxa"/>
            <w:tcBorders>
              <w:top w:val="single" w:sz="12" w:space="0" w:color="auto"/>
            </w:tcBorders>
          </w:tcPr>
          <w:p w14:paraId="709F010B" w14:textId="77777777" w:rsidR="00B3589F" w:rsidRPr="009935E2" w:rsidRDefault="00B3589F" w:rsidP="00425F4F">
            <w:pPr>
              <w:jc w:val="center"/>
              <w:rPr>
                <w:sz w:val="18"/>
                <w:szCs w:val="18"/>
              </w:rPr>
            </w:pPr>
            <w:r w:rsidRPr="009935E2">
              <w:rPr>
                <w:sz w:val="18"/>
                <w:szCs w:val="18"/>
              </w:rPr>
              <w:t>Consultant Services</w:t>
            </w:r>
          </w:p>
          <w:p w14:paraId="2B82CE92" w14:textId="77777777" w:rsidR="00B3589F" w:rsidRPr="009935E2" w:rsidRDefault="00B3589F" w:rsidP="00425F4F">
            <w:pPr>
              <w:jc w:val="center"/>
              <w:rPr>
                <w:sz w:val="18"/>
                <w:szCs w:val="18"/>
              </w:rPr>
            </w:pPr>
            <w:r w:rsidRPr="009935E2">
              <w:rPr>
                <w:sz w:val="18"/>
                <w:szCs w:val="18"/>
              </w:rPr>
              <w:t>Meeting</w:t>
            </w:r>
          </w:p>
        </w:tc>
        <w:tc>
          <w:tcPr>
            <w:tcW w:w="1276" w:type="dxa"/>
            <w:tcBorders>
              <w:top w:val="single" w:sz="12" w:space="0" w:color="auto"/>
              <w:right w:val="single" w:sz="12" w:space="0" w:color="auto"/>
            </w:tcBorders>
          </w:tcPr>
          <w:p w14:paraId="543B73E1" w14:textId="2843D56B" w:rsidR="00B3589F" w:rsidRPr="009935E2" w:rsidRDefault="00B3589F" w:rsidP="00425F4F">
            <w:pPr>
              <w:jc w:val="right"/>
              <w:rPr>
                <w:sz w:val="18"/>
                <w:szCs w:val="18"/>
              </w:rPr>
            </w:pPr>
            <w:r w:rsidRPr="009935E2">
              <w:rPr>
                <w:sz w:val="18"/>
                <w:szCs w:val="18"/>
              </w:rPr>
              <w:t xml:space="preserve">$ </w:t>
            </w:r>
            <w:r>
              <w:rPr>
                <w:sz w:val="18"/>
                <w:szCs w:val="18"/>
              </w:rPr>
              <w:t>2</w:t>
            </w:r>
            <w:r w:rsidRPr="009935E2">
              <w:rPr>
                <w:sz w:val="18"/>
                <w:szCs w:val="18"/>
              </w:rPr>
              <w:t>5, 000</w:t>
            </w:r>
          </w:p>
        </w:tc>
      </w:tr>
      <w:tr w:rsidR="00B3589F" w:rsidRPr="009935E2" w14:paraId="5447BDDC" w14:textId="77777777" w:rsidTr="00B3589F">
        <w:trPr>
          <w:trHeight w:val="408"/>
        </w:trPr>
        <w:tc>
          <w:tcPr>
            <w:tcW w:w="1754" w:type="dxa"/>
            <w:vMerge/>
            <w:tcBorders>
              <w:left w:val="single" w:sz="12" w:space="0" w:color="auto"/>
            </w:tcBorders>
          </w:tcPr>
          <w:p w14:paraId="2881B97E" w14:textId="77777777" w:rsidR="00B3589F" w:rsidRPr="009935E2" w:rsidRDefault="00B3589F" w:rsidP="00425F4F">
            <w:pPr>
              <w:rPr>
                <w:b/>
                <w:bCs/>
                <w:sz w:val="18"/>
                <w:szCs w:val="18"/>
              </w:rPr>
            </w:pPr>
          </w:p>
        </w:tc>
        <w:tc>
          <w:tcPr>
            <w:tcW w:w="5103" w:type="dxa"/>
            <w:tcBorders>
              <w:right w:val="single" w:sz="12" w:space="0" w:color="auto"/>
            </w:tcBorders>
          </w:tcPr>
          <w:p w14:paraId="13B5DC03" w14:textId="27310BF0" w:rsidR="00B3589F" w:rsidRPr="009935E2" w:rsidRDefault="00B3589F" w:rsidP="00425F4F">
            <w:pPr>
              <w:shd w:val="clear" w:color="auto" w:fill="FFFFFF" w:themeFill="background1"/>
              <w:rPr>
                <w:rFonts w:ascii="Calibri" w:eastAsia="Times New Roman" w:hAnsi="Calibri" w:cs="Calibri"/>
                <w:sz w:val="18"/>
                <w:szCs w:val="18"/>
              </w:rPr>
            </w:pPr>
            <w:r>
              <w:rPr>
                <w:rFonts w:ascii="Calibri" w:eastAsia="Times New Roman" w:hAnsi="Calibri" w:cs="Calibri"/>
                <w:sz w:val="18"/>
                <w:szCs w:val="18"/>
              </w:rPr>
              <w:t xml:space="preserve">Activity 1.2 </w:t>
            </w:r>
            <w:r w:rsidRPr="009935E2">
              <w:rPr>
                <w:rFonts w:ascii="Calibri" w:eastAsia="Times New Roman" w:hAnsi="Calibri" w:cs="Calibri"/>
                <w:sz w:val="18"/>
                <w:szCs w:val="18"/>
              </w:rPr>
              <w:t xml:space="preserve">Develop a </w:t>
            </w:r>
            <w:r w:rsidRPr="009935E2">
              <w:rPr>
                <w:rFonts w:ascii="Calibri" w:eastAsia="Times New Roman" w:hAnsi="Calibri" w:cs="Calibri"/>
                <w:b/>
                <w:bCs/>
                <w:sz w:val="18"/>
                <w:szCs w:val="18"/>
              </w:rPr>
              <w:t>Costed Action Plan</w:t>
            </w:r>
            <w:r w:rsidRPr="009935E2">
              <w:rPr>
                <w:rFonts w:ascii="Calibri" w:eastAsia="Times New Roman" w:hAnsi="Calibri" w:cs="Calibri"/>
                <w:sz w:val="18"/>
                <w:szCs w:val="18"/>
              </w:rPr>
              <w:t xml:space="preserve"> for integration of the </w:t>
            </w:r>
            <w:r w:rsidRPr="009935E2">
              <w:rPr>
                <w:rFonts w:ascii="Calibri" w:eastAsia="Times New Roman" w:hAnsi="Calibri" w:cs="Calibri"/>
                <w:b/>
                <w:bCs/>
                <w:sz w:val="18"/>
                <w:szCs w:val="18"/>
              </w:rPr>
              <w:t>Financing Tracking and Performance Management System</w:t>
            </w:r>
            <w:r w:rsidRPr="009935E2">
              <w:rPr>
                <w:rFonts w:ascii="Calibri" w:eastAsia="Times New Roman" w:hAnsi="Calibri" w:cs="Calibri"/>
                <w:sz w:val="18"/>
                <w:szCs w:val="18"/>
              </w:rPr>
              <w:t xml:space="preserve"> </w:t>
            </w:r>
            <w:r>
              <w:rPr>
                <w:rFonts w:ascii="Calibri" w:eastAsia="Times New Roman" w:hAnsi="Calibri" w:cs="Calibri"/>
                <w:sz w:val="18"/>
                <w:szCs w:val="18"/>
              </w:rPr>
              <w:t xml:space="preserve">developed by INFF process </w:t>
            </w:r>
            <w:r w:rsidRPr="009935E2">
              <w:rPr>
                <w:rFonts w:ascii="Calibri" w:eastAsia="Times New Roman" w:hAnsi="Calibri" w:cs="Calibri"/>
                <w:sz w:val="18"/>
                <w:szCs w:val="18"/>
              </w:rPr>
              <w:t>into Regional Development Plans aligned with Regional Development Plan Targets</w:t>
            </w:r>
          </w:p>
        </w:tc>
        <w:tc>
          <w:tcPr>
            <w:tcW w:w="498" w:type="dxa"/>
            <w:tcBorders>
              <w:top w:val="single" w:sz="2" w:space="0" w:color="auto"/>
              <w:left w:val="single" w:sz="12" w:space="0" w:color="auto"/>
              <w:bottom w:val="single" w:sz="2" w:space="0" w:color="auto"/>
              <w:right w:val="single" w:sz="2" w:space="0" w:color="auto"/>
            </w:tcBorders>
          </w:tcPr>
          <w:p w14:paraId="42C60C46" w14:textId="77777777" w:rsidR="00B3589F" w:rsidRPr="009935E2" w:rsidRDefault="00B3589F" w:rsidP="00425F4F">
            <w:pPr>
              <w:rPr>
                <w:sz w:val="18"/>
                <w:szCs w:val="18"/>
              </w:rPr>
            </w:pPr>
          </w:p>
        </w:tc>
        <w:tc>
          <w:tcPr>
            <w:tcW w:w="480" w:type="dxa"/>
            <w:tcBorders>
              <w:top w:val="single" w:sz="2" w:space="0" w:color="auto"/>
              <w:left w:val="single" w:sz="2" w:space="0" w:color="auto"/>
              <w:bottom w:val="single" w:sz="2" w:space="0" w:color="auto"/>
              <w:right w:val="single" w:sz="2" w:space="0" w:color="auto"/>
            </w:tcBorders>
            <w:shd w:val="clear" w:color="auto" w:fill="B4C6E7" w:themeFill="accent1" w:themeFillTint="66"/>
          </w:tcPr>
          <w:p w14:paraId="42D1A136" w14:textId="77777777" w:rsidR="00B3589F" w:rsidRPr="009935E2" w:rsidRDefault="00B3589F" w:rsidP="00425F4F">
            <w:pPr>
              <w:rPr>
                <w:sz w:val="18"/>
                <w:szCs w:val="18"/>
              </w:rPr>
            </w:pPr>
          </w:p>
        </w:tc>
        <w:tc>
          <w:tcPr>
            <w:tcW w:w="507" w:type="dxa"/>
            <w:tcBorders>
              <w:top w:val="single" w:sz="2" w:space="0" w:color="auto"/>
              <w:left w:val="single" w:sz="2" w:space="0" w:color="auto"/>
              <w:bottom w:val="single" w:sz="2" w:space="0" w:color="auto"/>
              <w:right w:val="single" w:sz="2" w:space="0" w:color="auto"/>
            </w:tcBorders>
            <w:shd w:val="clear" w:color="auto" w:fill="B4C6E7" w:themeFill="accent1" w:themeFillTint="66"/>
          </w:tcPr>
          <w:p w14:paraId="7F226EE7" w14:textId="77777777" w:rsidR="00B3589F" w:rsidRPr="009935E2" w:rsidRDefault="00B3589F" w:rsidP="00425F4F">
            <w:pPr>
              <w:rPr>
                <w:sz w:val="18"/>
                <w:szCs w:val="18"/>
              </w:rPr>
            </w:pPr>
          </w:p>
        </w:tc>
        <w:tc>
          <w:tcPr>
            <w:tcW w:w="483" w:type="dxa"/>
            <w:tcBorders>
              <w:top w:val="single" w:sz="2" w:space="0" w:color="auto"/>
              <w:left w:val="single" w:sz="2" w:space="0" w:color="auto"/>
              <w:bottom w:val="single" w:sz="2" w:space="0" w:color="auto"/>
              <w:right w:val="single" w:sz="2" w:space="0" w:color="auto"/>
            </w:tcBorders>
            <w:shd w:val="clear" w:color="auto" w:fill="auto"/>
          </w:tcPr>
          <w:p w14:paraId="67058F66" w14:textId="77777777" w:rsidR="00B3589F" w:rsidRPr="009935E2" w:rsidRDefault="00B3589F" w:rsidP="00425F4F">
            <w:pPr>
              <w:rPr>
                <w:sz w:val="18"/>
                <w:szCs w:val="18"/>
              </w:rPr>
            </w:pPr>
          </w:p>
        </w:tc>
        <w:tc>
          <w:tcPr>
            <w:tcW w:w="584" w:type="dxa"/>
            <w:tcBorders>
              <w:top w:val="single" w:sz="2" w:space="0" w:color="auto"/>
              <w:left w:val="single" w:sz="2" w:space="0" w:color="auto"/>
              <w:bottom w:val="single" w:sz="2" w:space="0" w:color="auto"/>
              <w:right w:val="single" w:sz="2" w:space="0" w:color="auto"/>
            </w:tcBorders>
          </w:tcPr>
          <w:p w14:paraId="5B5B2314" w14:textId="77777777" w:rsidR="00B3589F" w:rsidRPr="009935E2" w:rsidRDefault="00B3589F" w:rsidP="00425F4F">
            <w:pPr>
              <w:rPr>
                <w:sz w:val="18"/>
                <w:szCs w:val="18"/>
              </w:rPr>
            </w:pPr>
          </w:p>
        </w:tc>
        <w:tc>
          <w:tcPr>
            <w:tcW w:w="829" w:type="dxa"/>
            <w:tcBorders>
              <w:left w:val="single" w:sz="12" w:space="0" w:color="auto"/>
            </w:tcBorders>
          </w:tcPr>
          <w:p w14:paraId="6EC69B6E" w14:textId="77777777" w:rsidR="00B3589F" w:rsidRPr="009935E2" w:rsidRDefault="00B3589F" w:rsidP="00425F4F">
            <w:pPr>
              <w:rPr>
                <w:sz w:val="18"/>
                <w:szCs w:val="18"/>
              </w:rPr>
            </w:pPr>
            <w:r w:rsidRPr="009935E2">
              <w:rPr>
                <w:sz w:val="18"/>
                <w:szCs w:val="18"/>
              </w:rPr>
              <w:t>UNDP</w:t>
            </w:r>
          </w:p>
        </w:tc>
        <w:tc>
          <w:tcPr>
            <w:tcW w:w="1155" w:type="dxa"/>
          </w:tcPr>
          <w:p w14:paraId="5445B4C2" w14:textId="77777777" w:rsidR="00B3589F" w:rsidRPr="009935E2" w:rsidRDefault="00B3589F" w:rsidP="00425F4F">
            <w:pPr>
              <w:rPr>
                <w:sz w:val="18"/>
                <w:szCs w:val="18"/>
              </w:rPr>
            </w:pPr>
            <w:r w:rsidRPr="009935E2">
              <w:rPr>
                <w:sz w:val="18"/>
                <w:szCs w:val="18"/>
              </w:rPr>
              <w:t>Incubation Fund</w:t>
            </w:r>
          </w:p>
        </w:tc>
        <w:tc>
          <w:tcPr>
            <w:tcW w:w="1559" w:type="dxa"/>
          </w:tcPr>
          <w:p w14:paraId="1134629A" w14:textId="77777777" w:rsidR="00B3589F" w:rsidRPr="009935E2" w:rsidRDefault="00B3589F" w:rsidP="00425F4F">
            <w:pPr>
              <w:jc w:val="center"/>
              <w:rPr>
                <w:sz w:val="18"/>
                <w:szCs w:val="18"/>
              </w:rPr>
            </w:pPr>
            <w:r w:rsidRPr="009935E2">
              <w:rPr>
                <w:sz w:val="18"/>
                <w:szCs w:val="18"/>
              </w:rPr>
              <w:t>Consultant Services</w:t>
            </w:r>
          </w:p>
          <w:p w14:paraId="13BF56CC" w14:textId="77777777" w:rsidR="00B3589F" w:rsidRPr="009935E2" w:rsidRDefault="00B3589F" w:rsidP="00425F4F">
            <w:pPr>
              <w:jc w:val="center"/>
              <w:rPr>
                <w:sz w:val="18"/>
                <w:szCs w:val="18"/>
              </w:rPr>
            </w:pPr>
            <w:r w:rsidRPr="009935E2">
              <w:rPr>
                <w:sz w:val="18"/>
                <w:szCs w:val="18"/>
              </w:rPr>
              <w:t>Meeting</w:t>
            </w:r>
          </w:p>
        </w:tc>
        <w:tc>
          <w:tcPr>
            <w:tcW w:w="1276" w:type="dxa"/>
            <w:tcBorders>
              <w:right w:val="single" w:sz="12" w:space="0" w:color="auto"/>
            </w:tcBorders>
          </w:tcPr>
          <w:p w14:paraId="2E7186A9" w14:textId="39D20623" w:rsidR="00B3589F" w:rsidRPr="009935E2" w:rsidRDefault="00B3589F" w:rsidP="00425F4F">
            <w:pPr>
              <w:jc w:val="right"/>
              <w:rPr>
                <w:sz w:val="18"/>
                <w:szCs w:val="18"/>
              </w:rPr>
            </w:pPr>
            <w:r w:rsidRPr="009935E2">
              <w:rPr>
                <w:sz w:val="18"/>
                <w:szCs w:val="18"/>
              </w:rPr>
              <w:t xml:space="preserve">$ </w:t>
            </w:r>
            <w:r>
              <w:rPr>
                <w:sz w:val="18"/>
                <w:szCs w:val="18"/>
              </w:rPr>
              <w:t>4</w:t>
            </w:r>
            <w:r w:rsidRPr="009935E2">
              <w:rPr>
                <w:sz w:val="18"/>
                <w:szCs w:val="18"/>
              </w:rPr>
              <w:t>0,000</w:t>
            </w:r>
          </w:p>
        </w:tc>
      </w:tr>
      <w:tr w:rsidR="00B3589F" w:rsidRPr="009935E2" w14:paraId="17D6212E" w14:textId="77777777" w:rsidTr="00B3589F">
        <w:trPr>
          <w:trHeight w:val="408"/>
        </w:trPr>
        <w:tc>
          <w:tcPr>
            <w:tcW w:w="1754" w:type="dxa"/>
            <w:vMerge/>
            <w:tcBorders>
              <w:left w:val="single" w:sz="12" w:space="0" w:color="auto"/>
              <w:bottom w:val="single" w:sz="12" w:space="0" w:color="auto"/>
            </w:tcBorders>
          </w:tcPr>
          <w:p w14:paraId="3780BD8A" w14:textId="77777777" w:rsidR="00B3589F" w:rsidRPr="009935E2" w:rsidRDefault="00B3589F" w:rsidP="00425F4F">
            <w:pPr>
              <w:rPr>
                <w:b/>
                <w:bCs/>
                <w:sz w:val="18"/>
                <w:szCs w:val="18"/>
              </w:rPr>
            </w:pPr>
          </w:p>
        </w:tc>
        <w:tc>
          <w:tcPr>
            <w:tcW w:w="5103" w:type="dxa"/>
            <w:tcBorders>
              <w:bottom w:val="single" w:sz="12" w:space="0" w:color="auto"/>
              <w:right w:val="single" w:sz="12" w:space="0" w:color="auto"/>
            </w:tcBorders>
          </w:tcPr>
          <w:p w14:paraId="60F42701" w14:textId="3B7802B9" w:rsidR="00B3589F" w:rsidRPr="009935E2" w:rsidRDefault="00B3589F" w:rsidP="00425F4F">
            <w:pPr>
              <w:rPr>
                <w:sz w:val="18"/>
                <w:szCs w:val="18"/>
              </w:rPr>
            </w:pPr>
            <w:r w:rsidRPr="002F7EE1">
              <w:rPr>
                <w:rFonts w:ascii="Calibri" w:eastAsia="Times New Roman" w:hAnsi="Calibri" w:cs="Calibri"/>
                <w:sz w:val="18"/>
                <w:szCs w:val="18"/>
              </w:rPr>
              <w:t>Activity 1.3</w:t>
            </w:r>
            <w:r>
              <w:rPr>
                <w:rFonts w:ascii="Calibri" w:eastAsia="Times New Roman" w:hAnsi="Calibri" w:cs="Calibri"/>
                <w:b/>
                <w:bCs/>
                <w:sz w:val="18"/>
                <w:szCs w:val="18"/>
              </w:rPr>
              <w:t xml:space="preserve"> </w:t>
            </w:r>
            <w:r w:rsidRPr="009935E2">
              <w:rPr>
                <w:rFonts w:ascii="Calibri" w:eastAsia="Times New Roman" w:hAnsi="Calibri" w:cs="Calibri"/>
                <w:b/>
                <w:bCs/>
                <w:sz w:val="18"/>
                <w:szCs w:val="18"/>
              </w:rPr>
              <w:t>Pilot a governance mechanism</w:t>
            </w:r>
            <w:r w:rsidRPr="009935E2">
              <w:rPr>
                <w:rFonts w:ascii="Calibri" w:eastAsia="Times New Roman" w:hAnsi="Calibri" w:cs="Calibri"/>
                <w:sz w:val="18"/>
                <w:szCs w:val="18"/>
              </w:rPr>
              <w:t xml:space="preserve"> </w:t>
            </w:r>
            <w:r>
              <w:rPr>
                <w:rFonts w:ascii="Calibri" w:eastAsia="Times New Roman" w:hAnsi="Calibri" w:cs="Calibri"/>
                <w:sz w:val="18"/>
                <w:szCs w:val="18"/>
              </w:rPr>
              <w:t xml:space="preserve">utilizing the database (result of Activity 1.1) and the Financing Tracking System (result of Activity 1.2) </w:t>
            </w:r>
            <w:r w:rsidRPr="009935E2">
              <w:rPr>
                <w:rFonts w:ascii="Calibri" w:eastAsia="Times New Roman" w:hAnsi="Calibri" w:cs="Calibri"/>
                <w:sz w:val="18"/>
                <w:szCs w:val="18"/>
              </w:rPr>
              <w:t>for an integrated and meaningful engagement with civil society organizations to ensure integrated and decentralized governance</w:t>
            </w:r>
          </w:p>
        </w:tc>
        <w:tc>
          <w:tcPr>
            <w:tcW w:w="498" w:type="dxa"/>
            <w:tcBorders>
              <w:top w:val="single" w:sz="2" w:space="0" w:color="auto"/>
              <w:left w:val="single" w:sz="12" w:space="0" w:color="auto"/>
              <w:bottom w:val="single" w:sz="12" w:space="0" w:color="auto"/>
              <w:right w:val="single" w:sz="2" w:space="0" w:color="auto"/>
            </w:tcBorders>
          </w:tcPr>
          <w:p w14:paraId="11894355" w14:textId="77777777" w:rsidR="00B3589F" w:rsidRPr="009935E2" w:rsidRDefault="00B3589F" w:rsidP="00425F4F">
            <w:pPr>
              <w:rPr>
                <w:sz w:val="18"/>
                <w:szCs w:val="18"/>
              </w:rPr>
            </w:pPr>
          </w:p>
        </w:tc>
        <w:tc>
          <w:tcPr>
            <w:tcW w:w="480" w:type="dxa"/>
            <w:tcBorders>
              <w:top w:val="single" w:sz="2" w:space="0" w:color="auto"/>
              <w:left w:val="single" w:sz="2" w:space="0" w:color="auto"/>
              <w:bottom w:val="single" w:sz="12" w:space="0" w:color="auto"/>
              <w:right w:val="single" w:sz="2" w:space="0" w:color="auto"/>
            </w:tcBorders>
            <w:shd w:val="clear" w:color="auto" w:fill="auto"/>
          </w:tcPr>
          <w:p w14:paraId="59E8D1EB" w14:textId="77777777" w:rsidR="00B3589F" w:rsidRPr="009935E2" w:rsidRDefault="00B3589F" w:rsidP="00425F4F">
            <w:pPr>
              <w:rPr>
                <w:sz w:val="18"/>
                <w:szCs w:val="18"/>
              </w:rPr>
            </w:pPr>
          </w:p>
        </w:tc>
        <w:tc>
          <w:tcPr>
            <w:tcW w:w="507" w:type="dxa"/>
            <w:tcBorders>
              <w:top w:val="single" w:sz="2" w:space="0" w:color="auto"/>
              <w:left w:val="single" w:sz="2" w:space="0" w:color="auto"/>
              <w:bottom w:val="single" w:sz="12" w:space="0" w:color="auto"/>
              <w:right w:val="single" w:sz="2" w:space="0" w:color="auto"/>
            </w:tcBorders>
            <w:shd w:val="clear" w:color="auto" w:fill="auto"/>
          </w:tcPr>
          <w:p w14:paraId="53CA0D7F" w14:textId="77777777" w:rsidR="00B3589F" w:rsidRPr="009935E2" w:rsidRDefault="00B3589F" w:rsidP="00425F4F">
            <w:pPr>
              <w:rPr>
                <w:sz w:val="18"/>
                <w:szCs w:val="18"/>
              </w:rPr>
            </w:pPr>
          </w:p>
        </w:tc>
        <w:tc>
          <w:tcPr>
            <w:tcW w:w="483" w:type="dxa"/>
            <w:tcBorders>
              <w:top w:val="single" w:sz="2" w:space="0" w:color="auto"/>
              <w:left w:val="single" w:sz="2" w:space="0" w:color="auto"/>
              <w:bottom w:val="single" w:sz="12" w:space="0" w:color="auto"/>
              <w:right w:val="single" w:sz="2" w:space="0" w:color="auto"/>
            </w:tcBorders>
            <w:shd w:val="clear" w:color="auto" w:fill="B4C6E7" w:themeFill="accent1" w:themeFillTint="66"/>
          </w:tcPr>
          <w:p w14:paraId="097494E9" w14:textId="77777777" w:rsidR="00B3589F" w:rsidRPr="009935E2" w:rsidRDefault="00B3589F" w:rsidP="00425F4F">
            <w:pPr>
              <w:rPr>
                <w:sz w:val="18"/>
                <w:szCs w:val="18"/>
              </w:rPr>
            </w:pPr>
          </w:p>
        </w:tc>
        <w:tc>
          <w:tcPr>
            <w:tcW w:w="584" w:type="dxa"/>
            <w:tcBorders>
              <w:top w:val="single" w:sz="2" w:space="0" w:color="auto"/>
              <w:left w:val="single" w:sz="2" w:space="0" w:color="auto"/>
              <w:bottom w:val="single" w:sz="12" w:space="0" w:color="auto"/>
              <w:right w:val="single" w:sz="2" w:space="0" w:color="auto"/>
            </w:tcBorders>
            <w:shd w:val="clear" w:color="auto" w:fill="B4C6E7" w:themeFill="accent1" w:themeFillTint="66"/>
          </w:tcPr>
          <w:p w14:paraId="588164F7" w14:textId="77777777" w:rsidR="00B3589F" w:rsidRPr="009935E2" w:rsidRDefault="00B3589F" w:rsidP="00425F4F">
            <w:pPr>
              <w:rPr>
                <w:sz w:val="18"/>
                <w:szCs w:val="18"/>
              </w:rPr>
            </w:pPr>
          </w:p>
        </w:tc>
        <w:tc>
          <w:tcPr>
            <w:tcW w:w="829" w:type="dxa"/>
            <w:tcBorders>
              <w:left w:val="single" w:sz="12" w:space="0" w:color="auto"/>
              <w:bottom w:val="single" w:sz="12" w:space="0" w:color="auto"/>
            </w:tcBorders>
          </w:tcPr>
          <w:p w14:paraId="07703210" w14:textId="77777777" w:rsidR="00B3589F" w:rsidRPr="009935E2" w:rsidRDefault="00B3589F" w:rsidP="00425F4F">
            <w:pPr>
              <w:rPr>
                <w:sz w:val="18"/>
                <w:szCs w:val="18"/>
              </w:rPr>
            </w:pPr>
            <w:r w:rsidRPr="009935E2">
              <w:rPr>
                <w:sz w:val="18"/>
                <w:szCs w:val="18"/>
              </w:rPr>
              <w:t>UNDP</w:t>
            </w:r>
          </w:p>
        </w:tc>
        <w:tc>
          <w:tcPr>
            <w:tcW w:w="1155" w:type="dxa"/>
            <w:tcBorders>
              <w:bottom w:val="single" w:sz="12" w:space="0" w:color="auto"/>
            </w:tcBorders>
          </w:tcPr>
          <w:p w14:paraId="763D45FC" w14:textId="77777777" w:rsidR="00B3589F" w:rsidRPr="009935E2" w:rsidRDefault="00B3589F" w:rsidP="00425F4F">
            <w:pPr>
              <w:rPr>
                <w:sz w:val="18"/>
                <w:szCs w:val="18"/>
              </w:rPr>
            </w:pPr>
            <w:r w:rsidRPr="009935E2">
              <w:rPr>
                <w:sz w:val="18"/>
                <w:szCs w:val="18"/>
              </w:rPr>
              <w:t>Incubation Fund</w:t>
            </w:r>
          </w:p>
        </w:tc>
        <w:tc>
          <w:tcPr>
            <w:tcW w:w="1559" w:type="dxa"/>
            <w:tcBorders>
              <w:bottom w:val="single" w:sz="12" w:space="0" w:color="auto"/>
            </w:tcBorders>
          </w:tcPr>
          <w:p w14:paraId="27B2BAE7" w14:textId="77777777" w:rsidR="00B3589F" w:rsidRPr="009935E2" w:rsidRDefault="00B3589F" w:rsidP="00425F4F">
            <w:pPr>
              <w:jc w:val="center"/>
              <w:rPr>
                <w:sz w:val="18"/>
                <w:szCs w:val="18"/>
              </w:rPr>
            </w:pPr>
            <w:r w:rsidRPr="009935E2">
              <w:rPr>
                <w:sz w:val="18"/>
                <w:szCs w:val="18"/>
              </w:rPr>
              <w:t>Technical Assistance</w:t>
            </w:r>
          </w:p>
          <w:p w14:paraId="0EB8E831" w14:textId="77777777" w:rsidR="00B3589F" w:rsidRPr="009935E2" w:rsidRDefault="00B3589F" w:rsidP="00425F4F">
            <w:pPr>
              <w:jc w:val="center"/>
              <w:rPr>
                <w:sz w:val="18"/>
                <w:szCs w:val="18"/>
              </w:rPr>
            </w:pPr>
            <w:r w:rsidRPr="009935E2">
              <w:rPr>
                <w:sz w:val="18"/>
                <w:szCs w:val="18"/>
              </w:rPr>
              <w:t>Meeting</w:t>
            </w:r>
          </w:p>
        </w:tc>
        <w:tc>
          <w:tcPr>
            <w:tcW w:w="1276" w:type="dxa"/>
            <w:tcBorders>
              <w:bottom w:val="single" w:sz="12" w:space="0" w:color="auto"/>
              <w:right w:val="single" w:sz="12" w:space="0" w:color="auto"/>
            </w:tcBorders>
          </w:tcPr>
          <w:p w14:paraId="66B06316" w14:textId="6B5FAA1F" w:rsidR="00B3589F" w:rsidRPr="009935E2" w:rsidRDefault="00B3589F" w:rsidP="00425F4F">
            <w:pPr>
              <w:jc w:val="right"/>
              <w:rPr>
                <w:sz w:val="18"/>
                <w:szCs w:val="18"/>
              </w:rPr>
            </w:pPr>
            <w:r w:rsidRPr="009935E2">
              <w:rPr>
                <w:sz w:val="18"/>
                <w:szCs w:val="18"/>
              </w:rPr>
              <w:t xml:space="preserve">$ </w:t>
            </w:r>
            <w:r>
              <w:rPr>
                <w:sz w:val="18"/>
                <w:szCs w:val="18"/>
              </w:rPr>
              <w:t>2</w:t>
            </w:r>
            <w:r w:rsidRPr="009935E2">
              <w:rPr>
                <w:sz w:val="18"/>
                <w:szCs w:val="18"/>
              </w:rPr>
              <w:t>0, 000</w:t>
            </w:r>
          </w:p>
        </w:tc>
      </w:tr>
      <w:tr w:rsidR="005B0318" w:rsidRPr="009935E2" w14:paraId="40B23AC5" w14:textId="77777777" w:rsidTr="005E592B">
        <w:trPr>
          <w:trHeight w:val="350"/>
        </w:trPr>
        <w:tc>
          <w:tcPr>
            <w:tcW w:w="1754" w:type="dxa"/>
            <w:tcBorders>
              <w:top w:val="single" w:sz="12" w:space="0" w:color="auto"/>
              <w:left w:val="single" w:sz="12" w:space="0" w:color="auto"/>
              <w:bottom w:val="single" w:sz="12" w:space="0" w:color="auto"/>
            </w:tcBorders>
            <w:shd w:val="clear" w:color="auto" w:fill="C5E0B3" w:themeFill="accent6" w:themeFillTint="66"/>
          </w:tcPr>
          <w:p w14:paraId="0CC3A18E" w14:textId="77777777" w:rsidR="005B0318" w:rsidRPr="009935E2" w:rsidRDefault="005B0318" w:rsidP="00425F4F">
            <w:pPr>
              <w:rPr>
                <w:b/>
                <w:bCs/>
                <w:sz w:val="18"/>
                <w:szCs w:val="18"/>
              </w:rPr>
            </w:pPr>
          </w:p>
        </w:tc>
        <w:tc>
          <w:tcPr>
            <w:tcW w:w="5103" w:type="dxa"/>
            <w:tcBorders>
              <w:top w:val="single" w:sz="12" w:space="0" w:color="auto"/>
              <w:bottom w:val="single" w:sz="12" w:space="0" w:color="auto"/>
            </w:tcBorders>
            <w:shd w:val="clear" w:color="auto" w:fill="C5E0B3" w:themeFill="accent6" w:themeFillTint="66"/>
          </w:tcPr>
          <w:p w14:paraId="48196EC5" w14:textId="77777777" w:rsidR="005B0318" w:rsidRPr="009935E2" w:rsidRDefault="005B0318" w:rsidP="00425F4F">
            <w:pPr>
              <w:rPr>
                <w:sz w:val="18"/>
                <w:szCs w:val="18"/>
              </w:rPr>
            </w:pPr>
            <w:r w:rsidRPr="009935E2">
              <w:rPr>
                <w:b/>
                <w:bCs/>
                <w:sz w:val="18"/>
                <w:szCs w:val="18"/>
              </w:rPr>
              <w:t>Total Output 1</w:t>
            </w:r>
          </w:p>
        </w:tc>
        <w:tc>
          <w:tcPr>
            <w:tcW w:w="6095" w:type="dxa"/>
            <w:gridSpan w:val="8"/>
            <w:tcBorders>
              <w:top w:val="single" w:sz="12" w:space="0" w:color="auto"/>
              <w:bottom w:val="single" w:sz="12" w:space="0" w:color="auto"/>
            </w:tcBorders>
            <w:shd w:val="clear" w:color="auto" w:fill="C5E0B3" w:themeFill="accent6" w:themeFillTint="66"/>
          </w:tcPr>
          <w:p w14:paraId="12BB5F86" w14:textId="558EB09D" w:rsidR="005B0318" w:rsidRPr="009935E2" w:rsidRDefault="005B0318" w:rsidP="00425F4F">
            <w:pPr>
              <w:rPr>
                <w:sz w:val="18"/>
                <w:szCs w:val="18"/>
              </w:rPr>
            </w:pPr>
          </w:p>
        </w:tc>
        <w:tc>
          <w:tcPr>
            <w:tcW w:w="1276" w:type="dxa"/>
            <w:tcBorders>
              <w:top w:val="single" w:sz="12" w:space="0" w:color="auto"/>
              <w:bottom w:val="single" w:sz="12" w:space="0" w:color="auto"/>
              <w:right w:val="single" w:sz="12" w:space="0" w:color="auto"/>
            </w:tcBorders>
            <w:shd w:val="clear" w:color="auto" w:fill="C5E0B3" w:themeFill="accent6" w:themeFillTint="66"/>
          </w:tcPr>
          <w:p w14:paraId="394C56FF" w14:textId="4FBBBEFB" w:rsidR="005B0318" w:rsidRPr="009935E2" w:rsidRDefault="005B0318" w:rsidP="00425F4F">
            <w:pPr>
              <w:jc w:val="right"/>
              <w:rPr>
                <w:b/>
                <w:bCs/>
                <w:sz w:val="18"/>
                <w:szCs w:val="18"/>
              </w:rPr>
            </w:pPr>
            <w:r w:rsidRPr="009935E2">
              <w:rPr>
                <w:b/>
                <w:bCs/>
                <w:sz w:val="18"/>
                <w:szCs w:val="18"/>
              </w:rPr>
              <w:t xml:space="preserve">$ </w:t>
            </w:r>
            <w:r>
              <w:rPr>
                <w:b/>
                <w:bCs/>
                <w:sz w:val="18"/>
                <w:szCs w:val="18"/>
              </w:rPr>
              <w:t>85</w:t>
            </w:r>
            <w:r w:rsidRPr="009935E2">
              <w:rPr>
                <w:b/>
                <w:bCs/>
                <w:sz w:val="18"/>
                <w:szCs w:val="18"/>
              </w:rPr>
              <w:t>, 000</w:t>
            </w:r>
          </w:p>
        </w:tc>
      </w:tr>
      <w:tr w:rsidR="00671F1F" w:rsidRPr="009935E2" w14:paraId="6B049AE3" w14:textId="77777777" w:rsidTr="00B3589F">
        <w:trPr>
          <w:trHeight w:val="408"/>
        </w:trPr>
        <w:tc>
          <w:tcPr>
            <w:tcW w:w="1754" w:type="dxa"/>
            <w:vMerge w:val="restart"/>
            <w:tcBorders>
              <w:top w:val="single" w:sz="12" w:space="0" w:color="auto"/>
              <w:left w:val="single" w:sz="12" w:space="0" w:color="auto"/>
            </w:tcBorders>
          </w:tcPr>
          <w:p w14:paraId="10857202" w14:textId="77777777" w:rsidR="00671F1F" w:rsidRPr="009935E2" w:rsidRDefault="00671F1F" w:rsidP="00425F4F">
            <w:pPr>
              <w:rPr>
                <w:b/>
                <w:bCs/>
                <w:sz w:val="18"/>
                <w:szCs w:val="18"/>
              </w:rPr>
            </w:pPr>
            <w:r w:rsidRPr="009935E2">
              <w:rPr>
                <w:b/>
                <w:bCs/>
                <w:sz w:val="18"/>
                <w:szCs w:val="18"/>
              </w:rPr>
              <w:t xml:space="preserve">Output </w:t>
            </w:r>
            <w:proofErr w:type="gramStart"/>
            <w:r w:rsidRPr="009935E2">
              <w:rPr>
                <w:b/>
                <w:bCs/>
                <w:sz w:val="18"/>
                <w:szCs w:val="18"/>
              </w:rPr>
              <w:t>2 :</w:t>
            </w:r>
            <w:proofErr w:type="gramEnd"/>
            <w:r w:rsidRPr="009935E2">
              <w:rPr>
                <w:b/>
                <w:bCs/>
                <w:sz w:val="18"/>
                <w:szCs w:val="18"/>
              </w:rPr>
              <w:t xml:space="preserve"> Consolidating SDG impact investment</w:t>
            </w:r>
          </w:p>
        </w:tc>
        <w:tc>
          <w:tcPr>
            <w:tcW w:w="5103" w:type="dxa"/>
            <w:tcBorders>
              <w:top w:val="single" w:sz="12" w:space="0" w:color="auto"/>
              <w:right w:val="single" w:sz="12" w:space="0" w:color="auto"/>
            </w:tcBorders>
          </w:tcPr>
          <w:p w14:paraId="6A73736B" w14:textId="48FEA994" w:rsidR="00671F1F" w:rsidRPr="009935E2" w:rsidRDefault="00671F1F" w:rsidP="00425F4F">
            <w:pPr>
              <w:rPr>
                <w:sz w:val="18"/>
                <w:szCs w:val="18"/>
              </w:rPr>
            </w:pPr>
            <w:r>
              <w:rPr>
                <w:sz w:val="18"/>
                <w:szCs w:val="18"/>
              </w:rPr>
              <w:t xml:space="preserve">Activity 2.1 </w:t>
            </w:r>
            <w:r w:rsidRPr="009935E2">
              <w:rPr>
                <w:sz w:val="18"/>
                <w:szCs w:val="18"/>
              </w:rPr>
              <w:t xml:space="preserve">Develop Targets for Regional Priority SDGs </w:t>
            </w:r>
          </w:p>
        </w:tc>
        <w:tc>
          <w:tcPr>
            <w:tcW w:w="498" w:type="dxa"/>
            <w:tcBorders>
              <w:top w:val="single" w:sz="12" w:space="0" w:color="auto"/>
              <w:left w:val="single" w:sz="12" w:space="0" w:color="auto"/>
            </w:tcBorders>
            <w:shd w:val="clear" w:color="auto" w:fill="B4C6E7" w:themeFill="accent1" w:themeFillTint="66"/>
          </w:tcPr>
          <w:p w14:paraId="6A1FAEA7" w14:textId="77777777" w:rsidR="00671F1F" w:rsidRPr="009935E2" w:rsidRDefault="00671F1F" w:rsidP="00425F4F">
            <w:pPr>
              <w:rPr>
                <w:sz w:val="18"/>
                <w:szCs w:val="18"/>
              </w:rPr>
            </w:pPr>
          </w:p>
        </w:tc>
        <w:tc>
          <w:tcPr>
            <w:tcW w:w="480" w:type="dxa"/>
            <w:tcBorders>
              <w:top w:val="single" w:sz="12" w:space="0" w:color="auto"/>
            </w:tcBorders>
            <w:shd w:val="clear" w:color="auto" w:fill="B4C6E7" w:themeFill="accent1" w:themeFillTint="66"/>
          </w:tcPr>
          <w:p w14:paraId="5C7C3441" w14:textId="77777777" w:rsidR="00671F1F" w:rsidRPr="009935E2" w:rsidRDefault="00671F1F" w:rsidP="00425F4F">
            <w:pPr>
              <w:rPr>
                <w:sz w:val="18"/>
                <w:szCs w:val="18"/>
              </w:rPr>
            </w:pPr>
          </w:p>
        </w:tc>
        <w:tc>
          <w:tcPr>
            <w:tcW w:w="507" w:type="dxa"/>
            <w:tcBorders>
              <w:top w:val="single" w:sz="12" w:space="0" w:color="auto"/>
            </w:tcBorders>
            <w:shd w:val="clear" w:color="auto" w:fill="B4C6E7" w:themeFill="accent1" w:themeFillTint="66"/>
            <w:noWrap/>
          </w:tcPr>
          <w:p w14:paraId="23ED778F" w14:textId="77777777" w:rsidR="00671F1F" w:rsidRPr="009935E2" w:rsidRDefault="00671F1F" w:rsidP="00425F4F">
            <w:pPr>
              <w:rPr>
                <w:sz w:val="18"/>
                <w:szCs w:val="18"/>
              </w:rPr>
            </w:pPr>
          </w:p>
        </w:tc>
        <w:tc>
          <w:tcPr>
            <w:tcW w:w="483" w:type="dxa"/>
            <w:tcBorders>
              <w:top w:val="single" w:sz="12" w:space="0" w:color="auto"/>
            </w:tcBorders>
            <w:shd w:val="clear" w:color="auto" w:fill="auto"/>
            <w:noWrap/>
          </w:tcPr>
          <w:p w14:paraId="68106989" w14:textId="77777777" w:rsidR="00671F1F" w:rsidRPr="009935E2" w:rsidRDefault="00671F1F" w:rsidP="00425F4F">
            <w:pPr>
              <w:rPr>
                <w:sz w:val="18"/>
                <w:szCs w:val="18"/>
              </w:rPr>
            </w:pPr>
          </w:p>
        </w:tc>
        <w:tc>
          <w:tcPr>
            <w:tcW w:w="584" w:type="dxa"/>
            <w:tcBorders>
              <w:top w:val="single" w:sz="12" w:space="0" w:color="auto"/>
            </w:tcBorders>
            <w:shd w:val="clear" w:color="auto" w:fill="auto"/>
            <w:noWrap/>
          </w:tcPr>
          <w:p w14:paraId="58AD9CA3" w14:textId="77777777" w:rsidR="00671F1F" w:rsidRPr="009935E2" w:rsidRDefault="00671F1F" w:rsidP="00425F4F">
            <w:pPr>
              <w:rPr>
                <w:sz w:val="18"/>
                <w:szCs w:val="18"/>
              </w:rPr>
            </w:pPr>
          </w:p>
        </w:tc>
        <w:tc>
          <w:tcPr>
            <w:tcW w:w="829" w:type="dxa"/>
            <w:tcBorders>
              <w:top w:val="single" w:sz="12" w:space="0" w:color="auto"/>
              <w:left w:val="single" w:sz="12" w:space="0" w:color="auto"/>
            </w:tcBorders>
          </w:tcPr>
          <w:p w14:paraId="31B60537" w14:textId="77777777" w:rsidR="00671F1F" w:rsidRPr="009935E2" w:rsidRDefault="00671F1F" w:rsidP="00425F4F">
            <w:pPr>
              <w:rPr>
                <w:sz w:val="18"/>
                <w:szCs w:val="18"/>
              </w:rPr>
            </w:pPr>
          </w:p>
        </w:tc>
        <w:tc>
          <w:tcPr>
            <w:tcW w:w="1155" w:type="dxa"/>
            <w:tcBorders>
              <w:top w:val="single" w:sz="12" w:space="0" w:color="auto"/>
            </w:tcBorders>
          </w:tcPr>
          <w:p w14:paraId="2EF2D843" w14:textId="77777777" w:rsidR="00671F1F" w:rsidRPr="009935E2" w:rsidRDefault="00671F1F" w:rsidP="00425F4F">
            <w:pPr>
              <w:rPr>
                <w:sz w:val="18"/>
                <w:szCs w:val="18"/>
              </w:rPr>
            </w:pPr>
          </w:p>
        </w:tc>
        <w:tc>
          <w:tcPr>
            <w:tcW w:w="1559" w:type="dxa"/>
            <w:tcBorders>
              <w:top w:val="single" w:sz="12" w:space="0" w:color="auto"/>
            </w:tcBorders>
          </w:tcPr>
          <w:p w14:paraId="355F4E8B" w14:textId="77777777" w:rsidR="00671F1F" w:rsidRPr="009935E2" w:rsidRDefault="00671F1F" w:rsidP="00425F4F">
            <w:pPr>
              <w:rPr>
                <w:sz w:val="18"/>
                <w:szCs w:val="18"/>
              </w:rPr>
            </w:pPr>
          </w:p>
        </w:tc>
        <w:tc>
          <w:tcPr>
            <w:tcW w:w="1276" w:type="dxa"/>
            <w:tcBorders>
              <w:top w:val="single" w:sz="12" w:space="0" w:color="auto"/>
              <w:right w:val="single" w:sz="12" w:space="0" w:color="auto"/>
            </w:tcBorders>
          </w:tcPr>
          <w:p w14:paraId="2454F9EC" w14:textId="1ABF33B8" w:rsidR="00671F1F" w:rsidRPr="009935E2" w:rsidRDefault="00671F1F" w:rsidP="00425F4F">
            <w:pPr>
              <w:jc w:val="right"/>
              <w:rPr>
                <w:sz w:val="18"/>
                <w:szCs w:val="18"/>
              </w:rPr>
            </w:pPr>
            <w:r w:rsidRPr="009935E2">
              <w:rPr>
                <w:sz w:val="18"/>
                <w:szCs w:val="18"/>
              </w:rPr>
              <w:t xml:space="preserve">$ </w:t>
            </w:r>
            <w:r>
              <w:rPr>
                <w:sz w:val="18"/>
                <w:szCs w:val="18"/>
              </w:rPr>
              <w:t>1</w:t>
            </w:r>
            <w:r w:rsidRPr="009935E2">
              <w:rPr>
                <w:sz w:val="18"/>
                <w:szCs w:val="18"/>
              </w:rPr>
              <w:t>0 000</w:t>
            </w:r>
          </w:p>
        </w:tc>
      </w:tr>
      <w:tr w:rsidR="00671F1F" w:rsidRPr="009935E2" w14:paraId="32EC6539" w14:textId="77777777" w:rsidTr="00B3589F">
        <w:trPr>
          <w:trHeight w:val="408"/>
        </w:trPr>
        <w:tc>
          <w:tcPr>
            <w:tcW w:w="1754" w:type="dxa"/>
            <w:vMerge/>
            <w:tcBorders>
              <w:left w:val="single" w:sz="12" w:space="0" w:color="auto"/>
            </w:tcBorders>
          </w:tcPr>
          <w:p w14:paraId="2504FC06" w14:textId="77777777" w:rsidR="00671F1F" w:rsidRPr="009935E2" w:rsidRDefault="00671F1F" w:rsidP="00425F4F">
            <w:pPr>
              <w:rPr>
                <w:b/>
                <w:bCs/>
                <w:sz w:val="18"/>
                <w:szCs w:val="18"/>
              </w:rPr>
            </w:pPr>
          </w:p>
        </w:tc>
        <w:tc>
          <w:tcPr>
            <w:tcW w:w="5103" w:type="dxa"/>
            <w:tcBorders>
              <w:top w:val="single" w:sz="12" w:space="0" w:color="auto"/>
              <w:right w:val="single" w:sz="12" w:space="0" w:color="auto"/>
            </w:tcBorders>
          </w:tcPr>
          <w:p w14:paraId="4B4538D6" w14:textId="11FD3487" w:rsidR="00671F1F" w:rsidRPr="009935E2" w:rsidRDefault="00671F1F" w:rsidP="00425F4F">
            <w:pPr>
              <w:rPr>
                <w:sz w:val="18"/>
                <w:szCs w:val="18"/>
              </w:rPr>
            </w:pPr>
            <w:r>
              <w:rPr>
                <w:sz w:val="18"/>
                <w:szCs w:val="18"/>
              </w:rPr>
              <w:t>Activity 2.2 Develop SDG Acceleration Plan for 2 regions (One North and one South)</w:t>
            </w:r>
          </w:p>
        </w:tc>
        <w:tc>
          <w:tcPr>
            <w:tcW w:w="498" w:type="dxa"/>
            <w:tcBorders>
              <w:top w:val="single" w:sz="12" w:space="0" w:color="auto"/>
              <w:left w:val="single" w:sz="12" w:space="0" w:color="auto"/>
            </w:tcBorders>
            <w:shd w:val="clear" w:color="auto" w:fill="B4C6E7" w:themeFill="accent1" w:themeFillTint="66"/>
          </w:tcPr>
          <w:p w14:paraId="39A24E99" w14:textId="77777777" w:rsidR="00671F1F" w:rsidRPr="009935E2" w:rsidRDefault="00671F1F" w:rsidP="00425F4F">
            <w:pPr>
              <w:rPr>
                <w:sz w:val="18"/>
                <w:szCs w:val="18"/>
              </w:rPr>
            </w:pPr>
          </w:p>
        </w:tc>
        <w:tc>
          <w:tcPr>
            <w:tcW w:w="480" w:type="dxa"/>
            <w:tcBorders>
              <w:top w:val="single" w:sz="12" w:space="0" w:color="auto"/>
            </w:tcBorders>
            <w:shd w:val="clear" w:color="auto" w:fill="B4C6E7" w:themeFill="accent1" w:themeFillTint="66"/>
          </w:tcPr>
          <w:p w14:paraId="22AE09CB" w14:textId="77777777" w:rsidR="00671F1F" w:rsidRPr="009935E2" w:rsidRDefault="00671F1F" w:rsidP="00425F4F">
            <w:pPr>
              <w:rPr>
                <w:sz w:val="18"/>
                <w:szCs w:val="18"/>
              </w:rPr>
            </w:pPr>
          </w:p>
        </w:tc>
        <w:tc>
          <w:tcPr>
            <w:tcW w:w="507" w:type="dxa"/>
            <w:tcBorders>
              <w:top w:val="single" w:sz="12" w:space="0" w:color="auto"/>
            </w:tcBorders>
            <w:shd w:val="clear" w:color="auto" w:fill="B4C6E7" w:themeFill="accent1" w:themeFillTint="66"/>
            <w:noWrap/>
          </w:tcPr>
          <w:p w14:paraId="09BA6BCB" w14:textId="77777777" w:rsidR="00671F1F" w:rsidRPr="009935E2" w:rsidRDefault="00671F1F" w:rsidP="00425F4F">
            <w:pPr>
              <w:rPr>
                <w:sz w:val="18"/>
                <w:szCs w:val="18"/>
              </w:rPr>
            </w:pPr>
          </w:p>
        </w:tc>
        <w:tc>
          <w:tcPr>
            <w:tcW w:w="483" w:type="dxa"/>
            <w:tcBorders>
              <w:top w:val="single" w:sz="12" w:space="0" w:color="auto"/>
            </w:tcBorders>
            <w:shd w:val="clear" w:color="auto" w:fill="auto"/>
            <w:noWrap/>
          </w:tcPr>
          <w:p w14:paraId="4FC60351" w14:textId="77777777" w:rsidR="00671F1F" w:rsidRPr="009935E2" w:rsidRDefault="00671F1F" w:rsidP="00425F4F">
            <w:pPr>
              <w:rPr>
                <w:sz w:val="18"/>
                <w:szCs w:val="18"/>
              </w:rPr>
            </w:pPr>
          </w:p>
        </w:tc>
        <w:tc>
          <w:tcPr>
            <w:tcW w:w="584" w:type="dxa"/>
            <w:tcBorders>
              <w:top w:val="single" w:sz="12" w:space="0" w:color="auto"/>
            </w:tcBorders>
            <w:shd w:val="clear" w:color="auto" w:fill="auto"/>
            <w:noWrap/>
          </w:tcPr>
          <w:p w14:paraId="7A7A1995" w14:textId="77777777" w:rsidR="00671F1F" w:rsidRPr="009935E2" w:rsidRDefault="00671F1F" w:rsidP="00425F4F">
            <w:pPr>
              <w:rPr>
                <w:sz w:val="18"/>
                <w:szCs w:val="18"/>
              </w:rPr>
            </w:pPr>
          </w:p>
        </w:tc>
        <w:tc>
          <w:tcPr>
            <w:tcW w:w="829" w:type="dxa"/>
            <w:tcBorders>
              <w:top w:val="single" w:sz="12" w:space="0" w:color="auto"/>
              <w:left w:val="single" w:sz="12" w:space="0" w:color="auto"/>
            </w:tcBorders>
          </w:tcPr>
          <w:p w14:paraId="28E80894" w14:textId="77777777" w:rsidR="00671F1F" w:rsidRPr="009935E2" w:rsidRDefault="00671F1F" w:rsidP="00425F4F">
            <w:pPr>
              <w:rPr>
                <w:sz w:val="18"/>
                <w:szCs w:val="18"/>
              </w:rPr>
            </w:pPr>
          </w:p>
        </w:tc>
        <w:tc>
          <w:tcPr>
            <w:tcW w:w="1155" w:type="dxa"/>
            <w:tcBorders>
              <w:top w:val="single" w:sz="12" w:space="0" w:color="auto"/>
            </w:tcBorders>
          </w:tcPr>
          <w:p w14:paraId="689DDF31" w14:textId="77777777" w:rsidR="00671F1F" w:rsidRPr="009935E2" w:rsidRDefault="00671F1F" w:rsidP="00425F4F">
            <w:pPr>
              <w:rPr>
                <w:sz w:val="18"/>
                <w:szCs w:val="18"/>
              </w:rPr>
            </w:pPr>
          </w:p>
        </w:tc>
        <w:tc>
          <w:tcPr>
            <w:tcW w:w="1559" w:type="dxa"/>
            <w:tcBorders>
              <w:top w:val="single" w:sz="12" w:space="0" w:color="auto"/>
            </w:tcBorders>
          </w:tcPr>
          <w:p w14:paraId="0B885B4E" w14:textId="77777777" w:rsidR="00671F1F" w:rsidRPr="009935E2" w:rsidRDefault="00671F1F" w:rsidP="00425F4F">
            <w:pPr>
              <w:rPr>
                <w:sz w:val="18"/>
                <w:szCs w:val="18"/>
              </w:rPr>
            </w:pPr>
          </w:p>
        </w:tc>
        <w:tc>
          <w:tcPr>
            <w:tcW w:w="1276" w:type="dxa"/>
            <w:tcBorders>
              <w:top w:val="single" w:sz="12" w:space="0" w:color="auto"/>
              <w:right w:val="single" w:sz="12" w:space="0" w:color="auto"/>
            </w:tcBorders>
          </w:tcPr>
          <w:p w14:paraId="09238686" w14:textId="4392BB96" w:rsidR="00671F1F" w:rsidRPr="009935E2" w:rsidRDefault="00671F1F" w:rsidP="00425F4F">
            <w:pPr>
              <w:jc w:val="right"/>
              <w:rPr>
                <w:sz w:val="18"/>
                <w:szCs w:val="18"/>
              </w:rPr>
            </w:pPr>
            <w:r>
              <w:rPr>
                <w:sz w:val="18"/>
                <w:szCs w:val="18"/>
              </w:rPr>
              <w:t>$50,000</w:t>
            </w:r>
          </w:p>
        </w:tc>
      </w:tr>
      <w:tr w:rsidR="00671F1F" w:rsidRPr="009935E2" w14:paraId="0BCD725D" w14:textId="77777777" w:rsidTr="00B3589F">
        <w:trPr>
          <w:trHeight w:val="408"/>
        </w:trPr>
        <w:tc>
          <w:tcPr>
            <w:tcW w:w="1754" w:type="dxa"/>
            <w:vMerge/>
            <w:tcBorders>
              <w:left w:val="single" w:sz="12" w:space="0" w:color="auto"/>
            </w:tcBorders>
          </w:tcPr>
          <w:p w14:paraId="2AB6F399" w14:textId="77777777" w:rsidR="00671F1F" w:rsidRPr="009935E2" w:rsidRDefault="00671F1F" w:rsidP="00425F4F">
            <w:pPr>
              <w:rPr>
                <w:b/>
                <w:bCs/>
                <w:sz w:val="18"/>
                <w:szCs w:val="18"/>
              </w:rPr>
            </w:pPr>
          </w:p>
        </w:tc>
        <w:tc>
          <w:tcPr>
            <w:tcW w:w="5103" w:type="dxa"/>
            <w:tcBorders>
              <w:right w:val="single" w:sz="12" w:space="0" w:color="auto"/>
            </w:tcBorders>
          </w:tcPr>
          <w:p w14:paraId="47ABF53F" w14:textId="7C6ACDED" w:rsidR="00671F1F" w:rsidRPr="009935E2" w:rsidRDefault="00671F1F" w:rsidP="00425F4F">
            <w:pPr>
              <w:rPr>
                <w:sz w:val="18"/>
                <w:szCs w:val="18"/>
              </w:rPr>
            </w:pPr>
            <w:r>
              <w:rPr>
                <w:sz w:val="18"/>
                <w:szCs w:val="18"/>
              </w:rPr>
              <w:t xml:space="preserve">Activity 2.3 </w:t>
            </w:r>
            <w:r w:rsidRPr="009935E2">
              <w:rPr>
                <w:sz w:val="18"/>
                <w:szCs w:val="18"/>
              </w:rPr>
              <w:t>Establish physical and online SDG Investment Platform – an interface between public, private and development partners – to facilitate SDG investments at national and regional level</w:t>
            </w:r>
            <w:r>
              <w:rPr>
                <w:sz w:val="18"/>
                <w:szCs w:val="18"/>
              </w:rPr>
              <w:t xml:space="preserve"> identified by the SDG Investor Map</w:t>
            </w:r>
          </w:p>
        </w:tc>
        <w:tc>
          <w:tcPr>
            <w:tcW w:w="498" w:type="dxa"/>
            <w:tcBorders>
              <w:left w:val="single" w:sz="12" w:space="0" w:color="auto"/>
            </w:tcBorders>
            <w:shd w:val="clear" w:color="auto" w:fill="auto"/>
          </w:tcPr>
          <w:p w14:paraId="2AEC425C" w14:textId="77777777" w:rsidR="00671F1F" w:rsidRPr="009935E2" w:rsidRDefault="00671F1F" w:rsidP="00425F4F">
            <w:pPr>
              <w:rPr>
                <w:sz w:val="18"/>
                <w:szCs w:val="18"/>
              </w:rPr>
            </w:pPr>
          </w:p>
        </w:tc>
        <w:tc>
          <w:tcPr>
            <w:tcW w:w="480" w:type="dxa"/>
            <w:shd w:val="clear" w:color="auto" w:fill="auto"/>
          </w:tcPr>
          <w:p w14:paraId="44BAA068" w14:textId="77777777" w:rsidR="00671F1F" w:rsidRPr="009935E2" w:rsidRDefault="00671F1F" w:rsidP="00425F4F">
            <w:pPr>
              <w:rPr>
                <w:sz w:val="18"/>
                <w:szCs w:val="18"/>
              </w:rPr>
            </w:pPr>
          </w:p>
        </w:tc>
        <w:tc>
          <w:tcPr>
            <w:tcW w:w="507" w:type="dxa"/>
            <w:shd w:val="clear" w:color="auto" w:fill="B4C6E7" w:themeFill="accent1" w:themeFillTint="66"/>
            <w:noWrap/>
          </w:tcPr>
          <w:p w14:paraId="46A89F94" w14:textId="77777777" w:rsidR="00671F1F" w:rsidRPr="009935E2" w:rsidRDefault="00671F1F" w:rsidP="00425F4F">
            <w:pPr>
              <w:rPr>
                <w:sz w:val="18"/>
                <w:szCs w:val="18"/>
              </w:rPr>
            </w:pPr>
          </w:p>
        </w:tc>
        <w:tc>
          <w:tcPr>
            <w:tcW w:w="483" w:type="dxa"/>
            <w:shd w:val="clear" w:color="auto" w:fill="B4C6E7" w:themeFill="accent1" w:themeFillTint="66"/>
            <w:noWrap/>
          </w:tcPr>
          <w:p w14:paraId="4DFEDCE3" w14:textId="77777777" w:rsidR="00671F1F" w:rsidRPr="009935E2" w:rsidRDefault="00671F1F" w:rsidP="00425F4F">
            <w:pPr>
              <w:rPr>
                <w:sz w:val="18"/>
                <w:szCs w:val="18"/>
              </w:rPr>
            </w:pPr>
          </w:p>
        </w:tc>
        <w:tc>
          <w:tcPr>
            <w:tcW w:w="584" w:type="dxa"/>
            <w:shd w:val="clear" w:color="auto" w:fill="auto"/>
            <w:noWrap/>
          </w:tcPr>
          <w:p w14:paraId="456CCE6D" w14:textId="77777777" w:rsidR="00671F1F" w:rsidRPr="009935E2" w:rsidRDefault="00671F1F" w:rsidP="00425F4F">
            <w:pPr>
              <w:rPr>
                <w:sz w:val="18"/>
                <w:szCs w:val="18"/>
              </w:rPr>
            </w:pPr>
          </w:p>
        </w:tc>
        <w:tc>
          <w:tcPr>
            <w:tcW w:w="829" w:type="dxa"/>
            <w:tcBorders>
              <w:left w:val="single" w:sz="12" w:space="0" w:color="auto"/>
            </w:tcBorders>
          </w:tcPr>
          <w:p w14:paraId="50EDBA1A" w14:textId="77777777" w:rsidR="00671F1F" w:rsidRPr="009935E2" w:rsidRDefault="00671F1F" w:rsidP="00425F4F">
            <w:pPr>
              <w:rPr>
                <w:sz w:val="18"/>
                <w:szCs w:val="18"/>
              </w:rPr>
            </w:pPr>
          </w:p>
        </w:tc>
        <w:tc>
          <w:tcPr>
            <w:tcW w:w="1155" w:type="dxa"/>
          </w:tcPr>
          <w:p w14:paraId="4B095A46" w14:textId="77777777" w:rsidR="00671F1F" w:rsidRPr="009935E2" w:rsidRDefault="00671F1F" w:rsidP="00425F4F">
            <w:pPr>
              <w:rPr>
                <w:sz w:val="18"/>
                <w:szCs w:val="18"/>
              </w:rPr>
            </w:pPr>
          </w:p>
        </w:tc>
        <w:tc>
          <w:tcPr>
            <w:tcW w:w="1559" w:type="dxa"/>
          </w:tcPr>
          <w:p w14:paraId="40D91FAC" w14:textId="77777777" w:rsidR="00671F1F" w:rsidRPr="009935E2" w:rsidRDefault="00671F1F" w:rsidP="00425F4F">
            <w:pPr>
              <w:rPr>
                <w:sz w:val="18"/>
                <w:szCs w:val="18"/>
              </w:rPr>
            </w:pPr>
          </w:p>
        </w:tc>
        <w:tc>
          <w:tcPr>
            <w:tcW w:w="1276" w:type="dxa"/>
            <w:tcBorders>
              <w:right w:val="single" w:sz="12" w:space="0" w:color="auto"/>
            </w:tcBorders>
          </w:tcPr>
          <w:p w14:paraId="64A0E711" w14:textId="4733C0FC" w:rsidR="00671F1F" w:rsidRPr="009935E2" w:rsidRDefault="00671F1F" w:rsidP="00425F4F">
            <w:pPr>
              <w:jc w:val="right"/>
              <w:rPr>
                <w:sz w:val="18"/>
                <w:szCs w:val="18"/>
              </w:rPr>
            </w:pPr>
            <w:r w:rsidRPr="009935E2">
              <w:rPr>
                <w:sz w:val="18"/>
                <w:szCs w:val="18"/>
              </w:rPr>
              <w:t>$</w:t>
            </w:r>
            <w:r>
              <w:rPr>
                <w:sz w:val="18"/>
                <w:szCs w:val="18"/>
              </w:rPr>
              <w:t>3</w:t>
            </w:r>
            <w:r w:rsidRPr="009935E2">
              <w:rPr>
                <w:sz w:val="18"/>
                <w:szCs w:val="18"/>
              </w:rPr>
              <w:t>0,000</w:t>
            </w:r>
          </w:p>
        </w:tc>
      </w:tr>
      <w:tr w:rsidR="00671F1F" w:rsidRPr="009935E2" w14:paraId="14AEC3A2" w14:textId="77777777" w:rsidTr="00B3589F">
        <w:trPr>
          <w:trHeight w:val="408"/>
        </w:trPr>
        <w:tc>
          <w:tcPr>
            <w:tcW w:w="1754" w:type="dxa"/>
            <w:vMerge/>
            <w:tcBorders>
              <w:left w:val="single" w:sz="12" w:space="0" w:color="auto"/>
            </w:tcBorders>
          </w:tcPr>
          <w:p w14:paraId="62701D74" w14:textId="77777777" w:rsidR="00671F1F" w:rsidRPr="009935E2" w:rsidRDefault="00671F1F" w:rsidP="00425F4F">
            <w:pPr>
              <w:rPr>
                <w:b/>
                <w:bCs/>
                <w:sz w:val="18"/>
                <w:szCs w:val="18"/>
              </w:rPr>
            </w:pPr>
          </w:p>
        </w:tc>
        <w:tc>
          <w:tcPr>
            <w:tcW w:w="5103" w:type="dxa"/>
            <w:tcBorders>
              <w:right w:val="single" w:sz="12" w:space="0" w:color="auto"/>
            </w:tcBorders>
          </w:tcPr>
          <w:p w14:paraId="0226D6AB" w14:textId="11620204" w:rsidR="00671F1F" w:rsidRDefault="00671F1F" w:rsidP="00425F4F">
            <w:pPr>
              <w:rPr>
                <w:sz w:val="18"/>
                <w:szCs w:val="18"/>
              </w:rPr>
            </w:pPr>
            <w:r>
              <w:rPr>
                <w:sz w:val="18"/>
                <w:szCs w:val="18"/>
              </w:rPr>
              <w:t>Activity 2.4 Monitoring and Evaluation</w:t>
            </w:r>
          </w:p>
        </w:tc>
        <w:tc>
          <w:tcPr>
            <w:tcW w:w="498" w:type="dxa"/>
            <w:tcBorders>
              <w:left w:val="single" w:sz="12" w:space="0" w:color="auto"/>
            </w:tcBorders>
            <w:shd w:val="clear" w:color="auto" w:fill="auto"/>
          </w:tcPr>
          <w:p w14:paraId="27060456" w14:textId="77777777" w:rsidR="00671F1F" w:rsidRPr="009935E2" w:rsidRDefault="00671F1F" w:rsidP="00425F4F">
            <w:pPr>
              <w:rPr>
                <w:sz w:val="18"/>
                <w:szCs w:val="18"/>
              </w:rPr>
            </w:pPr>
          </w:p>
        </w:tc>
        <w:tc>
          <w:tcPr>
            <w:tcW w:w="480" w:type="dxa"/>
            <w:shd w:val="clear" w:color="auto" w:fill="auto"/>
          </w:tcPr>
          <w:p w14:paraId="2CE12326" w14:textId="77777777" w:rsidR="00671F1F" w:rsidRPr="009935E2" w:rsidRDefault="00671F1F" w:rsidP="00425F4F">
            <w:pPr>
              <w:rPr>
                <w:sz w:val="18"/>
                <w:szCs w:val="18"/>
              </w:rPr>
            </w:pPr>
          </w:p>
        </w:tc>
        <w:tc>
          <w:tcPr>
            <w:tcW w:w="507" w:type="dxa"/>
            <w:shd w:val="clear" w:color="auto" w:fill="B4C6E7" w:themeFill="accent1" w:themeFillTint="66"/>
            <w:noWrap/>
          </w:tcPr>
          <w:p w14:paraId="540E335C" w14:textId="77777777" w:rsidR="00671F1F" w:rsidRPr="009935E2" w:rsidRDefault="00671F1F" w:rsidP="00425F4F">
            <w:pPr>
              <w:rPr>
                <w:sz w:val="18"/>
                <w:szCs w:val="18"/>
              </w:rPr>
            </w:pPr>
          </w:p>
        </w:tc>
        <w:tc>
          <w:tcPr>
            <w:tcW w:w="483" w:type="dxa"/>
            <w:shd w:val="clear" w:color="auto" w:fill="B4C6E7" w:themeFill="accent1" w:themeFillTint="66"/>
            <w:noWrap/>
          </w:tcPr>
          <w:p w14:paraId="3FD51FFF" w14:textId="77777777" w:rsidR="00671F1F" w:rsidRPr="009935E2" w:rsidRDefault="00671F1F" w:rsidP="00425F4F">
            <w:pPr>
              <w:rPr>
                <w:sz w:val="18"/>
                <w:szCs w:val="18"/>
              </w:rPr>
            </w:pPr>
          </w:p>
        </w:tc>
        <w:tc>
          <w:tcPr>
            <w:tcW w:w="584" w:type="dxa"/>
            <w:shd w:val="clear" w:color="auto" w:fill="auto"/>
            <w:noWrap/>
          </w:tcPr>
          <w:p w14:paraId="6E394FBA" w14:textId="77777777" w:rsidR="00671F1F" w:rsidRPr="009935E2" w:rsidRDefault="00671F1F" w:rsidP="00425F4F">
            <w:pPr>
              <w:rPr>
                <w:sz w:val="18"/>
                <w:szCs w:val="18"/>
              </w:rPr>
            </w:pPr>
          </w:p>
        </w:tc>
        <w:tc>
          <w:tcPr>
            <w:tcW w:w="829" w:type="dxa"/>
            <w:tcBorders>
              <w:left w:val="single" w:sz="12" w:space="0" w:color="auto"/>
            </w:tcBorders>
          </w:tcPr>
          <w:p w14:paraId="27B48776" w14:textId="77777777" w:rsidR="00671F1F" w:rsidRPr="009935E2" w:rsidRDefault="00671F1F" w:rsidP="00425F4F">
            <w:pPr>
              <w:rPr>
                <w:sz w:val="18"/>
                <w:szCs w:val="18"/>
              </w:rPr>
            </w:pPr>
          </w:p>
        </w:tc>
        <w:tc>
          <w:tcPr>
            <w:tcW w:w="1155" w:type="dxa"/>
          </w:tcPr>
          <w:p w14:paraId="53BD7B21" w14:textId="77777777" w:rsidR="00671F1F" w:rsidRPr="009935E2" w:rsidRDefault="00671F1F" w:rsidP="00425F4F">
            <w:pPr>
              <w:rPr>
                <w:sz w:val="18"/>
                <w:szCs w:val="18"/>
              </w:rPr>
            </w:pPr>
          </w:p>
        </w:tc>
        <w:tc>
          <w:tcPr>
            <w:tcW w:w="1559" w:type="dxa"/>
          </w:tcPr>
          <w:p w14:paraId="272982D9" w14:textId="77777777" w:rsidR="00671F1F" w:rsidRPr="009935E2" w:rsidRDefault="00671F1F" w:rsidP="00425F4F">
            <w:pPr>
              <w:rPr>
                <w:sz w:val="18"/>
                <w:szCs w:val="18"/>
              </w:rPr>
            </w:pPr>
          </w:p>
        </w:tc>
        <w:tc>
          <w:tcPr>
            <w:tcW w:w="1276" w:type="dxa"/>
            <w:tcBorders>
              <w:right w:val="single" w:sz="12" w:space="0" w:color="auto"/>
            </w:tcBorders>
          </w:tcPr>
          <w:p w14:paraId="7E8D7AD9" w14:textId="75A25FB7" w:rsidR="00671F1F" w:rsidRPr="009935E2" w:rsidRDefault="00671F1F" w:rsidP="00425F4F">
            <w:pPr>
              <w:jc w:val="right"/>
              <w:rPr>
                <w:sz w:val="18"/>
                <w:szCs w:val="18"/>
              </w:rPr>
            </w:pPr>
            <w:r>
              <w:rPr>
                <w:sz w:val="18"/>
                <w:szCs w:val="18"/>
              </w:rPr>
              <w:t>5,000</w:t>
            </w:r>
          </w:p>
        </w:tc>
      </w:tr>
      <w:tr w:rsidR="005B0318" w:rsidRPr="009935E2" w14:paraId="21B3B89D" w14:textId="77777777" w:rsidTr="0093626F">
        <w:trPr>
          <w:trHeight w:val="314"/>
        </w:trPr>
        <w:tc>
          <w:tcPr>
            <w:tcW w:w="1754" w:type="dxa"/>
            <w:tcBorders>
              <w:left w:val="single" w:sz="12" w:space="0" w:color="auto"/>
              <w:bottom w:val="single" w:sz="12" w:space="0" w:color="auto"/>
            </w:tcBorders>
            <w:shd w:val="clear" w:color="auto" w:fill="C5E0B3" w:themeFill="accent6" w:themeFillTint="66"/>
            <w:noWrap/>
            <w:hideMark/>
          </w:tcPr>
          <w:p w14:paraId="79AA1DAB" w14:textId="77777777" w:rsidR="005B0318" w:rsidRPr="009935E2" w:rsidRDefault="005B0318" w:rsidP="00425F4F">
            <w:pPr>
              <w:rPr>
                <w:sz w:val="18"/>
                <w:szCs w:val="18"/>
              </w:rPr>
            </w:pPr>
            <w:r w:rsidRPr="009935E2">
              <w:rPr>
                <w:sz w:val="18"/>
                <w:szCs w:val="18"/>
              </w:rPr>
              <w:t> </w:t>
            </w:r>
          </w:p>
        </w:tc>
        <w:tc>
          <w:tcPr>
            <w:tcW w:w="5103" w:type="dxa"/>
            <w:tcBorders>
              <w:bottom w:val="single" w:sz="12" w:space="0" w:color="auto"/>
            </w:tcBorders>
            <w:shd w:val="clear" w:color="auto" w:fill="C5E0B3" w:themeFill="accent6" w:themeFillTint="66"/>
            <w:noWrap/>
            <w:vAlign w:val="center"/>
            <w:hideMark/>
          </w:tcPr>
          <w:p w14:paraId="0E41164C" w14:textId="77777777" w:rsidR="005B0318" w:rsidRPr="009935E2" w:rsidRDefault="005B0318" w:rsidP="00425F4F">
            <w:pPr>
              <w:rPr>
                <w:b/>
                <w:bCs/>
                <w:sz w:val="18"/>
                <w:szCs w:val="18"/>
              </w:rPr>
            </w:pPr>
            <w:r w:rsidRPr="009935E2">
              <w:rPr>
                <w:b/>
                <w:bCs/>
                <w:sz w:val="18"/>
                <w:szCs w:val="18"/>
              </w:rPr>
              <w:t>Total Output 2</w:t>
            </w:r>
          </w:p>
        </w:tc>
        <w:tc>
          <w:tcPr>
            <w:tcW w:w="6095" w:type="dxa"/>
            <w:gridSpan w:val="8"/>
            <w:tcBorders>
              <w:bottom w:val="single" w:sz="12" w:space="0" w:color="auto"/>
            </w:tcBorders>
            <w:shd w:val="clear" w:color="auto" w:fill="C5E0B3" w:themeFill="accent6" w:themeFillTint="66"/>
            <w:noWrap/>
            <w:hideMark/>
          </w:tcPr>
          <w:p w14:paraId="720107BF" w14:textId="0509A21C" w:rsidR="005B0318" w:rsidRPr="009935E2" w:rsidRDefault="005B0318" w:rsidP="00425F4F">
            <w:pPr>
              <w:rPr>
                <w:b/>
                <w:bCs/>
                <w:sz w:val="18"/>
                <w:szCs w:val="18"/>
              </w:rPr>
            </w:pPr>
            <w:r w:rsidRPr="009935E2">
              <w:rPr>
                <w:b/>
                <w:bCs/>
                <w:sz w:val="18"/>
                <w:szCs w:val="18"/>
              </w:rPr>
              <w:t> </w:t>
            </w:r>
          </w:p>
        </w:tc>
        <w:tc>
          <w:tcPr>
            <w:tcW w:w="1276" w:type="dxa"/>
            <w:tcBorders>
              <w:bottom w:val="single" w:sz="12" w:space="0" w:color="auto"/>
              <w:right w:val="single" w:sz="12" w:space="0" w:color="auto"/>
            </w:tcBorders>
            <w:shd w:val="clear" w:color="auto" w:fill="C5E0B3" w:themeFill="accent6" w:themeFillTint="66"/>
            <w:noWrap/>
          </w:tcPr>
          <w:p w14:paraId="2C9315AF" w14:textId="12E327EA" w:rsidR="005B0318" w:rsidRPr="009935E2" w:rsidRDefault="005B0318" w:rsidP="00425F4F">
            <w:pPr>
              <w:jc w:val="right"/>
              <w:rPr>
                <w:b/>
                <w:bCs/>
                <w:sz w:val="18"/>
                <w:szCs w:val="18"/>
              </w:rPr>
            </w:pPr>
            <w:r w:rsidRPr="009935E2">
              <w:rPr>
                <w:b/>
                <w:bCs/>
                <w:sz w:val="18"/>
                <w:szCs w:val="18"/>
              </w:rPr>
              <w:t xml:space="preserve">$ </w:t>
            </w:r>
            <w:r w:rsidR="002F7EE1">
              <w:rPr>
                <w:b/>
                <w:bCs/>
                <w:sz w:val="18"/>
                <w:szCs w:val="18"/>
              </w:rPr>
              <w:t>9</w:t>
            </w:r>
            <w:r w:rsidR="00671F1F">
              <w:rPr>
                <w:b/>
                <w:bCs/>
                <w:sz w:val="18"/>
                <w:szCs w:val="18"/>
              </w:rPr>
              <w:t>5</w:t>
            </w:r>
            <w:r w:rsidRPr="009935E2">
              <w:rPr>
                <w:b/>
                <w:bCs/>
                <w:sz w:val="18"/>
                <w:szCs w:val="18"/>
              </w:rPr>
              <w:t xml:space="preserve"> 000</w:t>
            </w:r>
          </w:p>
        </w:tc>
      </w:tr>
      <w:tr w:rsidR="005B0318" w:rsidRPr="009935E2" w14:paraId="69A275E5" w14:textId="77777777" w:rsidTr="005B0318">
        <w:trPr>
          <w:trHeight w:val="314"/>
        </w:trPr>
        <w:tc>
          <w:tcPr>
            <w:tcW w:w="1754" w:type="dxa"/>
            <w:tcBorders>
              <w:top w:val="single" w:sz="12" w:space="0" w:color="auto"/>
              <w:bottom w:val="single" w:sz="4" w:space="0" w:color="auto"/>
            </w:tcBorders>
            <w:noWrap/>
          </w:tcPr>
          <w:p w14:paraId="06BE10F1" w14:textId="77777777" w:rsidR="005B0318" w:rsidRPr="009935E2" w:rsidRDefault="005B0318" w:rsidP="00425F4F">
            <w:pPr>
              <w:rPr>
                <w:sz w:val="18"/>
                <w:szCs w:val="18"/>
              </w:rPr>
            </w:pPr>
          </w:p>
        </w:tc>
        <w:tc>
          <w:tcPr>
            <w:tcW w:w="5103" w:type="dxa"/>
            <w:tcBorders>
              <w:top w:val="single" w:sz="12" w:space="0" w:color="auto"/>
              <w:bottom w:val="single" w:sz="4" w:space="0" w:color="auto"/>
            </w:tcBorders>
            <w:noWrap/>
            <w:vAlign w:val="center"/>
          </w:tcPr>
          <w:p w14:paraId="449C9FFA" w14:textId="77777777" w:rsidR="005B0318" w:rsidRPr="009935E2" w:rsidRDefault="005B0318" w:rsidP="00425F4F">
            <w:pPr>
              <w:rPr>
                <w:b/>
                <w:bCs/>
                <w:sz w:val="18"/>
                <w:szCs w:val="18"/>
              </w:rPr>
            </w:pPr>
            <w:r w:rsidRPr="009935E2">
              <w:rPr>
                <w:b/>
                <w:bCs/>
                <w:sz w:val="18"/>
                <w:szCs w:val="18"/>
              </w:rPr>
              <w:t xml:space="preserve">Total </w:t>
            </w:r>
            <w:proofErr w:type="spellStart"/>
            <w:r w:rsidRPr="009935E2">
              <w:rPr>
                <w:b/>
                <w:bCs/>
                <w:sz w:val="18"/>
                <w:szCs w:val="18"/>
              </w:rPr>
              <w:t>Programme</w:t>
            </w:r>
            <w:proofErr w:type="spellEnd"/>
            <w:r w:rsidRPr="009935E2">
              <w:rPr>
                <w:b/>
                <w:bCs/>
                <w:sz w:val="18"/>
                <w:szCs w:val="18"/>
              </w:rPr>
              <w:t xml:space="preserve"> Budget</w:t>
            </w:r>
          </w:p>
        </w:tc>
        <w:tc>
          <w:tcPr>
            <w:tcW w:w="6095" w:type="dxa"/>
            <w:gridSpan w:val="8"/>
            <w:tcBorders>
              <w:top w:val="single" w:sz="12" w:space="0" w:color="auto"/>
              <w:bottom w:val="single" w:sz="4" w:space="0" w:color="auto"/>
            </w:tcBorders>
            <w:noWrap/>
          </w:tcPr>
          <w:p w14:paraId="47B21D06" w14:textId="59ED6626" w:rsidR="005B0318" w:rsidRPr="009935E2" w:rsidRDefault="005B0318" w:rsidP="00425F4F">
            <w:pPr>
              <w:rPr>
                <w:b/>
                <w:bCs/>
                <w:sz w:val="18"/>
                <w:szCs w:val="18"/>
              </w:rPr>
            </w:pPr>
          </w:p>
        </w:tc>
        <w:tc>
          <w:tcPr>
            <w:tcW w:w="1276" w:type="dxa"/>
            <w:tcBorders>
              <w:top w:val="single" w:sz="12" w:space="0" w:color="auto"/>
              <w:bottom w:val="single" w:sz="4" w:space="0" w:color="auto"/>
            </w:tcBorders>
            <w:shd w:val="clear" w:color="auto" w:fill="auto"/>
            <w:noWrap/>
          </w:tcPr>
          <w:p w14:paraId="17105BE7" w14:textId="0CEA77FE" w:rsidR="005B0318" w:rsidRPr="009935E2" w:rsidRDefault="005B0318" w:rsidP="00425F4F">
            <w:pPr>
              <w:jc w:val="right"/>
              <w:rPr>
                <w:b/>
                <w:bCs/>
                <w:sz w:val="18"/>
                <w:szCs w:val="18"/>
              </w:rPr>
            </w:pPr>
            <w:r w:rsidRPr="009935E2">
              <w:rPr>
                <w:b/>
                <w:bCs/>
                <w:sz w:val="18"/>
                <w:szCs w:val="18"/>
              </w:rPr>
              <w:t>$1</w:t>
            </w:r>
            <w:r w:rsidR="00671F1F">
              <w:rPr>
                <w:b/>
                <w:bCs/>
                <w:sz w:val="18"/>
                <w:szCs w:val="18"/>
              </w:rPr>
              <w:t>80</w:t>
            </w:r>
            <w:r w:rsidRPr="009935E2">
              <w:rPr>
                <w:b/>
                <w:bCs/>
                <w:sz w:val="18"/>
                <w:szCs w:val="18"/>
              </w:rPr>
              <w:t>,000</w:t>
            </w:r>
          </w:p>
        </w:tc>
      </w:tr>
      <w:tr w:rsidR="005B0318" w:rsidRPr="009935E2" w14:paraId="3BC460A8" w14:textId="77777777" w:rsidTr="005B0318">
        <w:trPr>
          <w:trHeight w:val="314"/>
        </w:trPr>
        <w:tc>
          <w:tcPr>
            <w:tcW w:w="1754" w:type="dxa"/>
            <w:tcBorders>
              <w:top w:val="single" w:sz="4" w:space="0" w:color="auto"/>
              <w:left w:val="single" w:sz="4" w:space="0" w:color="auto"/>
              <w:bottom w:val="single" w:sz="4" w:space="0" w:color="auto"/>
            </w:tcBorders>
            <w:shd w:val="clear" w:color="auto" w:fill="C5E0B3" w:themeFill="accent6" w:themeFillTint="66"/>
            <w:noWrap/>
          </w:tcPr>
          <w:p w14:paraId="1891CF40" w14:textId="77777777" w:rsidR="005B0318" w:rsidRPr="009935E2" w:rsidRDefault="005B0318" w:rsidP="00425F4F">
            <w:pPr>
              <w:rPr>
                <w:sz w:val="18"/>
                <w:szCs w:val="18"/>
              </w:rPr>
            </w:pPr>
          </w:p>
        </w:tc>
        <w:tc>
          <w:tcPr>
            <w:tcW w:w="5103" w:type="dxa"/>
            <w:tcBorders>
              <w:top w:val="single" w:sz="4" w:space="0" w:color="auto"/>
              <w:bottom w:val="single" w:sz="4" w:space="0" w:color="auto"/>
            </w:tcBorders>
            <w:shd w:val="clear" w:color="auto" w:fill="A8D08D" w:themeFill="accent6" w:themeFillTint="99"/>
            <w:noWrap/>
            <w:vAlign w:val="center"/>
          </w:tcPr>
          <w:p w14:paraId="2CC883CC" w14:textId="77777777" w:rsidR="005B0318" w:rsidRPr="009935E2" w:rsidRDefault="005B0318" w:rsidP="00425F4F">
            <w:pPr>
              <w:rPr>
                <w:b/>
                <w:bCs/>
                <w:sz w:val="18"/>
                <w:szCs w:val="18"/>
              </w:rPr>
            </w:pPr>
            <w:r w:rsidRPr="009935E2">
              <w:rPr>
                <w:b/>
                <w:bCs/>
                <w:sz w:val="18"/>
                <w:szCs w:val="18"/>
              </w:rPr>
              <w:t>Project Management Costs</w:t>
            </w:r>
          </w:p>
        </w:tc>
        <w:tc>
          <w:tcPr>
            <w:tcW w:w="6095" w:type="dxa"/>
            <w:gridSpan w:val="8"/>
            <w:tcBorders>
              <w:top w:val="single" w:sz="4" w:space="0" w:color="auto"/>
              <w:bottom w:val="single" w:sz="4" w:space="0" w:color="auto"/>
            </w:tcBorders>
            <w:shd w:val="clear" w:color="auto" w:fill="A8D08D" w:themeFill="accent6" w:themeFillTint="99"/>
            <w:noWrap/>
          </w:tcPr>
          <w:p w14:paraId="2374EFC5" w14:textId="30CE770F" w:rsidR="005B0318" w:rsidRPr="009935E2" w:rsidRDefault="005B0318" w:rsidP="00425F4F">
            <w:pPr>
              <w:rPr>
                <w:b/>
                <w:bCs/>
                <w:sz w:val="18"/>
                <w:szCs w:val="18"/>
              </w:rPr>
            </w:pPr>
          </w:p>
        </w:tc>
        <w:tc>
          <w:tcPr>
            <w:tcW w:w="1276" w:type="dxa"/>
            <w:tcBorders>
              <w:top w:val="single" w:sz="4" w:space="0" w:color="auto"/>
              <w:bottom w:val="single" w:sz="4" w:space="0" w:color="auto"/>
              <w:right w:val="single" w:sz="4" w:space="0" w:color="auto"/>
            </w:tcBorders>
            <w:shd w:val="clear" w:color="auto" w:fill="C5E0B3" w:themeFill="accent6" w:themeFillTint="66"/>
            <w:noWrap/>
          </w:tcPr>
          <w:p w14:paraId="581F170E" w14:textId="641C5909" w:rsidR="005B0318" w:rsidRPr="009935E2" w:rsidRDefault="005B0318" w:rsidP="00425F4F">
            <w:pPr>
              <w:jc w:val="right"/>
              <w:rPr>
                <w:b/>
                <w:bCs/>
                <w:sz w:val="18"/>
                <w:szCs w:val="18"/>
              </w:rPr>
            </w:pPr>
            <w:r w:rsidRPr="009935E2">
              <w:rPr>
                <w:b/>
                <w:bCs/>
                <w:sz w:val="18"/>
                <w:szCs w:val="18"/>
              </w:rPr>
              <w:t>$</w:t>
            </w:r>
            <w:r w:rsidR="002F7EE1">
              <w:rPr>
                <w:b/>
                <w:bCs/>
                <w:sz w:val="18"/>
                <w:szCs w:val="18"/>
              </w:rPr>
              <w:t>2</w:t>
            </w:r>
            <w:r w:rsidR="00671F1F">
              <w:rPr>
                <w:b/>
                <w:bCs/>
                <w:sz w:val="18"/>
                <w:szCs w:val="18"/>
              </w:rPr>
              <w:t>0</w:t>
            </w:r>
            <w:r w:rsidRPr="009935E2">
              <w:rPr>
                <w:b/>
                <w:bCs/>
                <w:sz w:val="18"/>
                <w:szCs w:val="18"/>
              </w:rPr>
              <w:t>,000</w:t>
            </w:r>
          </w:p>
        </w:tc>
      </w:tr>
      <w:tr w:rsidR="005B0318" w:rsidRPr="009935E2" w14:paraId="218BE611" w14:textId="77777777" w:rsidTr="005B0318">
        <w:trPr>
          <w:trHeight w:val="288"/>
        </w:trPr>
        <w:tc>
          <w:tcPr>
            <w:tcW w:w="1754" w:type="dxa"/>
            <w:tcBorders>
              <w:top w:val="single" w:sz="4" w:space="0" w:color="auto"/>
            </w:tcBorders>
            <w:noWrap/>
          </w:tcPr>
          <w:p w14:paraId="77BCEE6F" w14:textId="77777777" w:rsidR="005B0318" w:rsidRPr="009935E2" w:rsidRDefault="005B0318" w:rsidP="00425F4F">
            <w:pPr>
              <w:rPr>
                <w:sz w:val="18"/>
                <w:szCs w:val="18"/>
              </w:rPr>
            </w:pPr>
          </w:p>
        </w:tc>
        <w:tc>
          <w:tcPr>
            <w:tcW w:w="5103" w:type="dxa"/>
            <w:tcBorders>
              <w:top w:val="single" w:sz="4" w:space="0" w:color="auto"/>
            </w:tcBorders>
            <w:noWrap/>
          </w:tcPr>
          <w:p w14:paraId="26141DA0" w14:textId="77777777" w:rsidR="005B0318" w:rsidRPr="009935E2" w:rsidRDefault="005B0318" w:rsidP="00425F4F">
            <w:pPr>
              <w:rPr>
                <w:b/>
                <w:bCs/>
                <w:sz w:val="18"/>
                <w:szCs w:val="18"/>
              </w:rPr>
            </w:pPr>
            <w:r w:rsidRPr="009935E2">
              <w:rPr>
                <w:b/>
                <w:bCs/>
                <w:sz w:val="18"/>
                <w:szCs w:val="18"/>
              </w:rPr>
              <w:t>Grand Total</w:t>
            </w:r>
          </w:p>
        </w:tc>
        <w:tc>
          <w:tcPr>
            <w:tcW w:w="6095" w:type="dxa"/>
            <w:gridSpan w:val="8"/>
            <w:tcBorders>
              <w:top w:val="single" w:sz="4" w:space="0" w:color="auto"/>
            </w:tcBorders>
            <w:noWrap/>
          </w:tcPr>
          <w:p w14:paraId="6CC13BFE" w14:textId="595FA28A" w:rsidR="005B0318" w:rsidRPr="009935E2" w:rsidRDefault="005B0318" w:rsidP="00425F4F">
            <w:pPr>
              <w:rPr>
                <w:b/>
                <w:bCs/>
                <w:sz w:val="18"/>
                <w:szCs w:val="18"/>
              </w:rPr>
            </w:pPr>
          </w:p>
        </w:tc>
        <w:tc>
          <w:tcPr>
            <w:tcW w:w="1276" w:type="dxa"/>
            <w:tcBorders>
              <w:top w:val="single" w:sz="4" w:space="0" w:color="auto"/>
            </w:tcBorders>
            <w:shd w:val="clear" w:color="auto" w:fill="auto"/>
            <w:noWrap/>
          </w:tcPr>
          <w:p w14:paraId="4C277A4E" w14:textId="77777777" w:rsidR="005B0318" w:rsidRPr="009935E2" w:rsidRDefault="005B0318" w:rsidP="00425F4F">
            <w:pPr>
              <w:jc w:val="right"/>
              <w:rPr>
                <w:b/>
                <w:bCs/>
                <w:sz w:val="18"/>
                <w:szCs w:val="18"/>
              </w:rPr>
            </w:pPr>
            <w:r w:rsidRPr="009935E2">
              <w:rPr>
                <w:b/>
                <w:bCs/>
                <w:sz w:val="18"/>
                <w:szCs w:val="18"/>
              </w:rPr>
              <w:t>$ 200 000</w:t>
            </w:r>
          </w:p>
        </w:tc>
      </w:tr>
    </w:tbl>
    <w:p w14:paraId="5F11A5E9" w14:textId="4316C4FE" w:rsidR="009935E2" w:rsidRDefault="009935E2" w:rsidP="00FE298B">
      <w:pPr>
        <w:jc w:val="both"/>
        <w:rPr>
          <w:rFonts w:ascii="Calibri" w:eastAsia="Times New Roman" w:hAnsi="Calibri" w:cs="Calibri"/>
          <w:color w:val="44546A"/>
          <w:sz w:val="24"/>
          <w:szCs w:val="24"/>
        </w:rPr>
      </w:pPr>
    </w:p>
    <w:p w14:paraId="1A97C021" w14:textId="77777777" w:rsidR="00805BDF" w:rsidRDefault="00805BDF" w:rsidP="00805BDF">
      <w:pPr>
        <w:jc w:val="both"/>
        <w:rPr>
          <w:rFonts w:ascii="Calibri" w:eastAsia="Times New Roman" w:hAnsi="Calibri" w:cs="Calibri"/>
          <w:b/>
          <w:bCs/>
          <w:color w:val="44546A"/>
          <w:sz w:val="24"/>
          <w:szCs w:val="24"/>
        </w:rPr>
      </w:pPr>
    </w:p>
    <w:sectPr w:rsidR="00805BDF" w:rsidSect="00A6146E">
      <w:pgSz w:w="15840" w:h="12240" w:orient="landscape"/>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115F" w14:textId="77777777" w:rsidR="00A944D5" w:rsidRDefault="00A944D5" w:rsidP="00421D55">
      <w:pPr>
        <w:spacing w:after="0" w:line="240" w:lineRule="auto"/>
      </w:pPr>
      <w:r>
        <w:separator/>
      </w:r>
    </w:p>
  </w:endnote>
  <w:endnote w:type="continuationSeparator" w:id="0">
    <w:p w14:paraId="438CEDD9" w14:textId="77777777" w:rsidR="00A944D5" w:rsidRDefault="00A944D5" w:rsidP="0042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062032"/>
      <w:docPartObj>
        <w:docPartGallery w:val="Page Numbers (Bottom of Page)"/>
        <w:docPartUnique/>
      </w:docPartObj>
    </w:sdtPr>
    <w:sdtEndPr/>
    <w:sdtContent>
      <w:p w14:paraId="35534D07" w14:textId="2EFDEA0E" w:rsidR="006321BD" w:rsidRDefault="00A944D5">
        <w:pPr>
          <w:pStyle w:val="Footer"/>
          <w:jc w:val="center"/>
        </w:pPr>
      </w:p>
    </w:sdtContent>
  </w:sdt>
  <w:p w14:paraId="5B750EF0" w14:textId="77777777" w:rsidR="006321BD" w:rsidRDefault="00632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271766"/>
      <w:docPartObj>
        <w:docPartGallery w:val="Page Numbers (Bottom of Page)"/>
        <w:docPartUnique/>
      </w:docPartObj>
    </w:sdtPr>
    <w:sdtEndPr/>
    <w:sdtContent>
      <w:p w14:paraId="39B0176F" w14:textId="4B48AE1A" w:rsidR="009935E2" w:rsidRDefault="009935E2">
        <w:pPr>
          <w:pStyle w:val="Footer"/>
          <w:jc w:val="center"/>
        </w:pPr>
        <w:r>
          <w:fldChar w:fldCharType="begin"/>
        </w:r>
        <w:r>
          <w:instrText>PAGE   \* MERGEFORMAT</w:instrText>
        </w:r>
        <w:r>
          <w:fldChar w:fldCharType="separate"/>
        </w:r>
        <w:r>
          <w:rPr>
            <w:lang w:val="fr-FR"/>
          </w:rPr>
          <w:t>2</w:t>
        </w:r>
        <w:r>
          <w:fldChar w:fldCharType="end"/>
        </w:r>
      </w:p>
    </w:sdtContent>
  </w:sdt>
  <w:p w14:paraId="6112F2EA" w14:textId="77777777" w:rsidR="006321BD" w:rsidRDefault="0063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98DA" w14:textId="77777777" w:rsidR="00A944D5" w:rsidRDefault="00A944D5" w:rsidP="00421D55">
      <w:pPr>
        <w:spacing w:after="0" w:line="240" w:lineRule="auto"/>
      </w:pPr>
      <w:r>
        <w:separator/>
      </w:r>
    </w:p>
  </w:footnote>
  <w:footnote w:type="continuationSeparator" w:id="0">
    <w:p w14:paraId="7648832F" w14:textId="77777777" w:rsidR="00A944D5" w:rsidRDefault="00A944D5" w:rsidP="00421D55">
      <w:pPr>
        <w:spacing w:after="0" w:line="240" w:lineRule="auto"/>
      </w:pPr>
      <w:r>
        <w:continuationSeparator/>
      </w:r>
    </w:p>
  </w:footnote>
  <w:footnote w:id="1">
    <w:p w14:paraId="4A4AD44D" w14:textId="7F5D10D0" w:rsidR="00B56EA9" w:rsidRDefault="00B56EA9">
      <w:pPr>
        <w:pStyle w:val="FootnoteText"/>
      </w:pPr>
      <w:r>
        <w:rPr>
          <w:rStyle w:val="FootnoteReference"/>
        </w:rPr>
        <w:footnoteRef/>
      </w:r>
      <w:r>
        <w:t xml:space="preserve"> Rising Djibouti is the first portfolio of the UNDP Djibouti designed to implement </w:t>
      </w:r>
      <w:r w:rsidR="00637192">
        <w:t>post-COVID</w:t>
      </w:r>
      <w:r>
        <w:t xml:space="preserve"> socio-economic recovery projects, </w:t>
      </w:r>
      <w:r w:rsidR="00637192">
        <w:t>transformative governance and resilience building. Rising Djibouti is a visionary project which mirrors the development aspirations of the country, more so to bounce forward and recover from the development impediments caused by the COVID-19 pandemic.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680"/>
    <w:multiLevelType w:val="hybridMultilevel"/>
    <w:tmpl w:val="44F4AA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620F8F"/>
    <w:multiLevelType w:val="hybridMultilevel"/>
    <w:tmpl w:val="2048A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7A5469"/>
    <w:multiLevelType w:val="hybridMultilevel"/>
    <w:tmpl w:val="B9581D1C"/>
    <w:lvl w:ilvl="0" w:tplc="044400A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1658D"/>
    <w:multiLevelType w:val="hybridMultilevel"/>
    <w:tmpl w:val="46209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469F9"/>
    <w:multiLevelType w:val="hybridMultilevel"/>
    <w:tmpl w:val="42F080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160A07"/>
    <w:multiLevelType w:val="hybridMultilevel"/>
    <w:tmpl w:val="DDC46B30"/>
    <w:lvl w:ilvl="0" w:tplc="87287250">
      <w:start w:val="1"/>
      <w:numFmt w:val="bullet"/>
      <w:lvlText w:val="•"/>
      <w:lvlJc w:val="left"/>
      <w:pPr>
        <w:tabs>
          <w:tab w:val="num" w:pos="720"/>
        </w:tabs>
        <w:ind w:left="720" w:hanging="360"/>
      </w:pPr>
      <w:rPr>
        <w:rFonts w:ascii="Times New Roman" w:hAnsi="Times New Roman" w:hint="default"/>
      </w:rPr>
    </w:lvl>
    <w:lvl w:ilvl="1" w:tplc="FE3E150E" w:tentative="1">
      <w:start w:val="1"/>
      <w:numFmt w:val="bullet"/>
      <w:lvlText w:val="•"/>
      <w:lvlJc w:val="left"/>
      <w:pPr>
        <w:tabs>
          <w:tab w:val="num" w:pos="1440"/>
        </w:tabs>
        <w:ind w:left="1440" w:hanging="360"/>
      </w:pPr>
      <w:rPr>
        <w:rFonts w:ascii="Times New Roman" w:hAnsi="Times New Roman" w:hint="default"/>
      </w:rPr>
    </w:lvl>
    <w:lvl w:ilvl="2" w:tplc="33C0B8A0" w:tentative="1">
      <w:start w:val="1"/>
      <w:numFmt w:val="bullet"/>
      <w:lvlText w:val="•"/>
      <w:lvlJc w:val="left"/>
      <w:pPr>
        <w:tabs>
          <w:tab w:val="num" w:pos="2160"/>
        </w:tabs>
        <w:ind w:left="2160" w:hanging="360"/>
      </w:pPr>
      <w:rPr>
        <w:rFonts w:ascii="Times New Roman" w:hAnsi="Times New Roman" w:hint="default"/>
      </w:rPr>
    </w:lvl>
    <w:lvl w:ilvl="3" w:tplc="549C40A8" w:tentative="1">
      <w:start w:val="1"/>
      <w:numFmt w:val="bullet"/>
      <w:lvlText w:val="•"/>
      <w:lvlJc w:val="left"/>
      <w:pPr>
        <w:tabs>
          <w:tab w:val="num" w:pos="2880"/>
        </w:tabs>
        <w:ind w:left="2880" w:hanging="360"/>
      </w:pPr>
      <w:rPr>
        <w:rFonts w:ascii="Times New Roman" w:hAnsi="Times New Roman" w:hint="default"/>
      </w:rPr>
    </w:lvl>
    <w:lvl w:ilvl="4" w:tplc="C5FE18C4" w:tentative="1">
      <w:start w:val="1"/>
      <w:numFmt w:val="bullet"/>
      <w:lvlText w:val="•"/>
      <w:lvlJc w:val="left"/>
      <w:pPr>
        <w:tabs>
          <w:tab w:val="num" w:pos="3600"/>
        </w:tabs>
        <w:ind w:left="3600" w:hanging="360"/>
      </w:pPr>
      <w:rPr>
        <w:rFonts w:ascii="Times New Roman" w:hAnsi="Times New Roman" w:hint="default"/>
      </w:rPr>
    </w:lvl>
    <w:lvl w:ilvl="5" w:tplc="608AFBCC" w:tentative="1">
      <w:start w:val="1"/>
      <w:numFmt w:val="bullet"/>
      <w:lvlText w:val="•"/>
      <w:lvlJc w:val="left"/>
      <w:pPr>
        <w:tabs>
          <w:tab w:val="num" w:pos="4320"/>
        </w:tabs>
        <w:ind w:left="4320" w:hanging="360"/>
      </w:pPr>
      <w:rPr>
        <w:rFonts w:ascii="Times New Roman" w:hAnsi="Times New Roman" w:hint="default"/>
      </w:rPr>
    </w:lvl>
    <w:lvl w:ilvl="6" w:tplc="54387420" w:tentative="1">
      <w:start w:val="1"/>
      <w:numFmt w:val="bullet"/>
      <w:lvlText w:val="•"/>
      <w:lvlJc w:val="left"/>
      <w:pPr>
        <w:tabs>
          <w:tab w:val="num" w:pos="5040"/>
        </w:tabs>
        <w:ind w:left="5040" w:hanging="360"/>
      </w:pPr>
      <w:rPr>
        <w:rFonts w:ascii="Times New Roman" w:hAnsi="Times New Roman" w:hint="default"/>
      </w:rPr>
    </w:lvl>
    <w:lvl w:ilvl="7" w:tplc="5C4E970C" w:tentative="1">
      <w:start w:val="1"/>
      <w:numFmt w:val="bullet"/>
      <w:lvlText w:val="•"/>
      <w:lvlJc w:val="left"/>
      <w:pPr>
        <w:tabs>
          <w:tab w:val="num" w:pos="5760"/>
        </w:tabs>
        <w:ind w:left="5760" w:hanging="360"/>
      </w:pPr>
      <w:rPr>
        <w:rFonts w:ascii="Times New Roman" w:hAnsi="Times New Roman" w:hint="default"/>
      </w:rPr>
    </w:lvl>
    <w:lvl w:ilvl="8" w:tplc="482E7D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763D3A"/>
    <w:multiLevelType w:val="hybridMultilevel"/>
    <w:tmpl w:val="2362D30E"/>
    <w:lvl w:ilvl="0" w:tplc="5CA213D4">
      <w:start w:val="1"/>
      <w:numFmt w:val="bullet"/>
      <w:lvlText w:val="•"/>
      <w:lvlJc w:val="left"/>
      <w:pPr>
        <w:tabs>
          <w:tab w:val="num" w:pos="720"/>
        </w:tabs>
        <w:ind w:left="720" w:hanging="360"/>
      </w:pPr>
      <w:rPr>
        <w:rFonts w:ascii="Times New Roman" w:hAnsi="Times New Roman" w:hint="default"/>
      </w:rPr>
    </w:lvl>
    <w:lvl w:ilvl="1" w:tplc="F8E05958" w:tentative="1">
      <w:start w:val="1"/>
      <w:numFmt w:val="bullet"/>
      <w:lvlText w:val="•"/>
      <w:lvlJc w:val="left"/>
      <w:pPr>
        <w:tabs>
          <w:tab w:val="num" w:pos="1440"/>
        </w:tabs>
        <w:ind w:left="1440" w:hanging="360"/>
      </w:pPr>
      <w:rPr>
        <w:rFonts w:ascii="Times New Roman" w:hAnsi="Times New Roman" w:hint="default"/>
      </w:rPr>
    </w:lvl>
    <w:lvl w:ilvl="2" w:tplc="DB700750" w:tentative="1">
      <w:start w:val="1"/>
      <w:numFmt w:val="bullet"/>
      <w:lvlText w:val="•"/>
      <w:lvlJc w:val="left"/>
      <w:pPr>
        <w:tabs>
          <w:tab w:val="num" w:pos="2160"/>
        </w:tabs>
        <w:ind w:left="2160" w:hanging="360"/>
      </w:pPr>
      <w:rPr>
        <w:rFonts w:ascii="Times New Roman" w:hAnsi="Times New Roman" w:hint="default"/>
      </w:rPr>
    </w:lvl>
    <w:lvl w:ilvl="3" w:tplc="C456ACA6" w:tentative="1">
      <w:start w:val="1"/>
      <w:numFmt w:val="bullet"/>
      <w:lvlText w:val="•"/>
      <w:lvlJc w:val="left"/>
      <w:pPr>
        <w:tabs>
          <w:tab w:val="num" w:pos="2880"/>
        </w:tabs>
        <w:ind w:left="2880" w:hanging="360"/>
      </w:pPr>
      <w:rPr>
        <w:rFonts w:ascii="Times New Roman" w:hAnsi="Times New Roman" w:hint="default"/>
      </w:rPr>
    </w:lvl>
    <w:lvl w:ilvl="4" w:tplc="004E278C" w:tentative="1">
      <w:start w:val="1"/>
      <w:numFmt w:val="bullet"/>
      <w:lvlText w:val="•"/>
      <w:lvlJc w:val="left"/>
      <w:pPr>
        <w:tabs>
          <w:tab w:val="num" w:pos="3600"/>
        </w:tabs>
        <w:ind w:left="3600" w:hanging="360"/>
      </w:pPr>
      <w:rPr>
        <w:rFonts w:ascii="Times New Roman" w:hAnsi="Times New Roman" w:hint="default"/>
      </w:rPr>
    </w:lvl>
    <w:lvl w:ilvl="5" w:tplc="9B069B2A" w:tentative="1">
      <w:start w:val="1"/>
      <w:numFmt w:val="bullet"/>
      <w:lvlText w:val="•"/>
      <w:lvlJc w:val="left"/>
      <w:pPr>
        <w:tabs>
          <w:tab w:val="num" w:pos="4320"/>
        </w:tabs>
        <w:ind w:left="4320" w:hanging="360"/>
      </w:pPr>
      <w:rPr>
        <w:rFonts w:ascii="Times New Roman" w:hAnsi="Times New Roman" w:hint="default"/>
      </w:rPr>
    </w:lvl>
    <w:lvl w:ilvl="6" w:tplc="38823398" w:tentative="1">
      <w:start w:val="1"/>
      <w:numFmt w:val="bullet"/>
      <w:lvlText w:val="•"/>
      <w:lvlJc w:val="left"/>
      <w:pPr>
        <w:tabs>
          <w:tab w:val="num" w:pos="5040"/>
        </w:tabs>
        <w:ind w:left="5040" w:hanging="360"/>
      </w:pPr>
      <w:rPr>
        <w:rFonts w:ascii="Times New Roman" w:hAnsi="Times New Roman" w:hint="default"/>
      </w:rPr>
    </w:lvl>
    <w:lvl w:ilvl="7" w:tplc="D45E9766" w:tentative="1">
      <w:start w:val="1"/>
      <w:numFmt w:val="bullet"/>
      <w:lvlText w:val="•"/>
      <w:lvlJc w:val="left"/>
      <w:pPr>
        <w:tabs>
          <w:tab w:val="num" w:pos="5760"/>
        </w:tabs>
        <w:ind w:left="5760" w:hanging="360"/>
      </w:pPr>
      <w:rPr>
        <w:rFonts w:ascii="Times New Roman" w:hAnsi="Times New Roman" w:hint="default"/>
      </w:rPr>
    </w:lvl>
    <w:lvl w:ilvl="8" w:tplc="9A8A24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300EAA"/>
    <w:multiLevelType w:val="hybridMultilevel"/>
    <w:tmpl w:val="BE56820C"/>
    <w:lvl w:ilvl="0" w:tplc="ADF64CE0">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F1A4E"/>
    <w:multiLevelType w:val="hybridMultilevel"/>
    <w:tmpl w:val="D55A9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573F03"/>
    <w:multiLevelType w:val="hybridMultilevel"/>
    <w:tmpl w:val="E3DC2406"/>
    <w:lvl w:ilvl="0" w:tplc="B3A8C7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B924E2C"/>
    <w:multiLevelType w:val="hybridMultilevel"/>
    <w:tmpl w:val="694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47B93"/>
    <w:multiLevelType w:val="hybridMultilevel"/>
    <w:tmpl w:val="193A31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99536A6"/>
    <w:multiLevelType w:val="hybridMultilevel"/>
    <w:tmpl w:val="67C0C020"/>
    <w:lvl w:ilvl="0" w:tplc="43F0BCB0">
      <w:start w:val="1"/>
      <w:numFmt w:val="bullet"/>
      <w:lvlText w:val="•"/>
      <w:lvlJc w:val="left"/>
      <w:pPr>
        <w:tabs>
          <w:tab w:val="num" w:pos="720"/>
        </w:tabs>
        <w:ind w:left="720" w:hanging="360"/>
      </w:pPr>
      <w:rPr>
        <w:rFonts w:ascii="Times New Roman" w:hAnsi="Times New Roman" w:hint="default"/>
      </w:rPr>
    </w:lvl>
    <w:lvl w:ilvl="1" w:tplc="1FCEA5A8" w:tentative="1">
      <w:start w:val="1"/>
      <w:numFmt w:val="bullet"/>
      <w:lvlText w:val="•"/>
      <w:lvlJc w:val="left"/>
      <w:pPr>
        <w:tabs>
          <w:tab w:val="num" w:pos="1440"/>
        </w:tabs>
        <w:ind w:left="1440" w:hanging="360"/>
      </w:pPr>
      <w:rPr>
        <w:rFonts w:ascii="Times New Roman" w:hAnsi="Times New Roman" w:hint="default"/>
      </w:rPr>
    </w:lvl>
    <w:lvl w:ilvl="2" w:tplc="C8C6ECCC" w:tentative="1">
      <w:start w:val="1"/>
      <w:numFmt w:val="bullet"/>
      <w:lvlText w:val="•"/>
      <w:lvlJc w:val="left"/>
      <w:pPr>
        <w:tabs>
          <w:tab w:val="num" w:pos="2160"/>
        </w:tabs>
        <w:ind w:left="2160" w:hanging="360"/>
      </w:pPr>
      <w:rPr>
        <w:rFonts w:ascii="Times New Roman" w:hAnsi="Times New Roman" w:hint="default"/>
      </w:rPr>
    </w:lvl>
    <w:lvl w:ilvl="3" w:tplc="F010379C" w:tentative="1">
      <w:start w:val="1"/>
      <w:numFmt w:val="bullet"/>
      <w:lvlText w:val="•"/>
      <w:lvlJc w:val="left"/>
      <w:pPr>
        <w:tabs>
          <w:tab w:val="num" w:pos="2880"/>
        </w:tabs>
        <w:ind w:left="2880" w:hanging="360"/>
      </w:pPr>
      <w:rPr>
        <w:rFonts w:ascii="Times New Roman" w:hAnsi="Times New Roman" w:hint="default"/>
      </w:rPr>
    </w:lvl>
    <w:lvl w:ilvl="4" w:tplc="C7745AEC" w:tentative="1">
      <w:start w:val="1"/>
      <w:numFmt w:val="bullet"/>
      <w:lvlText w:val="•"/>
      <w:lvlJc w:val="left"/>
      <w:pPr>
        <w:tabs>
          <w:tab w:val="num" w:pos="3600"/>
        </w:tabs>
        <w:ind w:left="3600" w:hanging="360"/>
      </w:pPr>
      <w:rPr>
        <w:rFonts w:ascii="Times New Roman" w:hAnsi="Times New Roman" w:hint="default"/>
      </w:rPr>
    </w:lvl>
    <w:lvl w:ilvl="5" w:tplc="9ABCB890" w:tentative="1">
      <w:start w:val="1"/>
      <w:numFmt w:val="bullet"/>
      <w:lvlText w:val="•"/>
      <w:lvlJc w:val="left"/>
      <w:pPr>
        <w:tabs>
          <w:tab w:val="num" w:pos="4320"/>
        </w:tabs>
        <w:ind w:left="4320" w:hanging="360"/>
      </w:pPr>
      <w:rPr>
        <w:rFonts w:ascii="Times New Roman" w:hAnsi="Times New Roman" w:hint="default"/>
      </w:rPr>
    </w:lvl>
    <w:lvl w:ilvl="6" w:tplc="FFE2228C" w:tentative="1">
      <w:start w:val="1"/>
      <w:numFmt w:val="bullet"/>
      <w:lvlText w:val="•"/>
      <w:lvlJc w:val="left"/>
      <w:pPr>
        <w:tabs>
          <w:tab w:val="num" w:pos="5040"/>
        </w:tabs>
        <w:ind w:left="5040" w:hanging="360"/>
      </w:pPr>
      <w:rPr>
        <w:rFonts w:ascii="Times New Roman" w:hAnsi="Times New Roman" w:hint="default"/>
      </w:rPr>
    </w:lvl>
    <w:lvl w:ilvl="7" w:tplc="A8E286CE" w:tentative="1">
      <w:start w:val="1"/>
      <w:numFmt w:val="bullet"/>
      <w:lvlText w:val="•"/>
      <w:lvlJc w:val="left"/>
      <w:pPr>
        <w:tabs>
          <w:tab w:val="num" w:pos="5760"/>
        </w:tabs>
        <w:ind w:left="5760" w:hanging="360"/>
      </w:pPr>
      <w:rPr>
        <w:rFonts w:ascii="Times New Roman" w:hAnsi="Times New Roman" w:hint="default"/>
      </w:rPr>
    </w:lvl>
    <w:lvl w:ilvl="8" w:tplc="1B5E44D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D62C81"/>
    <w:multiLevelType w:val="hybridMultilevel"/>
    <w:tmpl w:val="2048A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25011B"/>
    <w:multiLevelType w:val="hybridMultilevel"/>
    <w:tmpl w:val="2786AACE"/>
    <w:lvl w:ilvl="0" w:tplc="4B66E144">
      <w:start w:val="1"/>
      <w:numFmt w:val="bullet"/>
      <w:lvlText w:val="•"/>
      <w:lvlJc w:val="left"/>
      <w:pPr>
        <w:tabs>
          <w:tab w:val="num" w:pos="720"/>
        </w:tabs>
        <w:ind w:left="720" w:hanging="360"/>
      </w:pPr>
      <w:rPr>
        <w:rFonts w:ascii="Times New Roman" w:hAnsi="Times New Roman" w:hint="default"/>
      </w:rPr>
    </w:lvl>
    <w:lvl w:ilvl="1" w:tplc="780CF808" w:tentative="1">
      <w:start w:val="1"/>
      <w:numFmt w:val="bullet"/>
      <w:lvlText w:val="•"/>
      <w:lvlJc w:val="left"/>
      <w:pPr>
        <w:tabs>
          <w:tab w:val="num" w:pos="1440"/>
        </w:tabs>
        <w:ind w:left="1440" w:hanging="360"/>
      </w:pPr>
      <w:rPr>
        <w:rFonts w:ascii="Times New Roman" w:hAnsi="Times New Roman" w:hint="default"/>
      </w:rPr>
    </w:lvl>
    <w:lvl w:ilvl="2" w:tplc="E89EB486" w:tentative="1">
      <w:start w:val="1"/>
      <w:numFmt w:val="bullet"/>
      <w:lvlText w:val="•"/>
      <w:lvlJc w:val="left"/>
      <w:pPr>
        <w:tabs>
          <w:tab w:val="num" w:pos="2160"/>
        </w:tabs>
        <w:ind w:left="2160" w:hanging="360"/>
      </w:pPr>
      <w:rPr>
        <w:rFonts w:ascii="Times New Roman" w:hAnsi="Times New Roman" w:hint="default"/>
      </w:rPr>
    </w:lvl>
    <w:lvl w:ilvl="3" w:tplc="E8BC236C" w:tentative="1">
      <w:start w:val="1"/>
      <w:numFmt w:val="bullet"/>
      <w:lvlText w:val="•"/>
      <w:lvlJc w:val="left"/>
      <w:pPr>
        <w:tabs>
          <w:tab w:val="num" w:pos="2880"/>
        </w:tabs>
        <w:ind w:left="2880" w:hanging="360"/>
      </w:pPr>
      <w:rPr>
        <w:rFonts w:ascii="Times New Roman" w:hAnsi="Times New Roman" w:hint="default"/>
      </w:rPr>
    </w:lvl>
    <w:lvl w:ilvl="4" w:tplc="3F66B32E" w:tentative="1">
      <w:start w:val="1"/>
      <w:numFmt w:val="bullet"/>
      <w:lvlText w:val="•"/>
      <w:lvlJc w:val="left"/>
      <w:pPr>
        <w:tabs>
          <w:tab w:val="num" w:pos="3600"/>
        </w:tabs>
        <w:ind w:left="3600" w:hanging="360"/>
      </w:pPr>
      <w:rPr>
        <w:rFonts w:ascii="Times New Roman" w:hAnsi="Times New Roman" w:hint="default"/>
      </w:rPr>
    </w:lvl>
    <w:lvl w:ilvl="5" w:tplc="704ECA30" w:tentative="1">
      <w:start w:val="1"/>
      <w:numFmt w:val="bullet"/>
      <w:lvlText w:val="•"/>
      <w:lvlJc w:val="left"/>
      <w:pPr>
        <w:tabs>
          <w:tab w:val="num" w:pos="4320"/>
        </w:tabs>
        <w:ind w:left="4320" w:hanging="360"/>
      </w:pPr>
      <w:rPr>
        <w:rFonts w:ascii="Times New Roman" w:hAnsi="Times New Roman" w:hint="default"/>
      </w:rPr>
    </w:lvl>
    <w:lvl w:ilvl="6" w:tplc="461ABEB0" w:tentative="1">
      <w:start w:val="1"/>
      <w:numFmt w:val="bullet"/>
      <w:lvlText w:val="•"/>
      <w:lvlJc w:val="left"/>
      <w:pPr>
        <w:tabs>
          <w:tab w:val="num" w:pos="5040"/>
        </w:tabs>
        <w:ind w:left="5040" w:hanging="360"/>
      </w:pPr>
      <w:rPr>
        <w:rFonts w:ascii="Times New Roman" w:hAnsi="Times New Roman" w:hint="default"/>
      </w:rPr>
    </w:lvl>
    <w:lvl w:ilvl="7" w:tplc="F41C5BCA" w:tentative="1">
      <w:start w:val="1"/>
      <w:numFmt w:val="bullet"/>
      <w:lvlText w:val="•"/>
      <w:lvlJc w:val="left"/>
      <w:pPr>
        <w:tabs>
          <w:tab w:val="num" w:pos="5760"/>
        </w:tabs>
        <w:ind w:left="5760" w:hanging="360"/>
      </w:pPr>
      <w:rPr>
        <w:rFonts w:ascii="Times New Roman" w:hAnsi="Times New Roman" w:hint="default"/>
      </w:rPr>
    </w:lvl>
    <w:lvl w:ilvl="8" w:tplc="AB6256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D61520C"/>
    <w:multiLevelType w:val="hybridMultilevel"/>
    <w:tmpl w:val="A0BCD31E"/>
    <w:lvl w:ilvl="0" w:tplc="D1B0C4C2">
      <w:start w:val="1"/>
      <w:numFmt w:val="bullet"/>
      <w:lvlText w:val="•"/>
      <w:lvlJc w:val="left"/>
      <w:pPr>
        <w:tabs>
          <w:tab w:val="num" w:pos="720"/>
        </w:tabs>
        <w:ind w:left="720" w:hanging="360"/>
      </w:pPr>
      <w:rPr>
        <w:rFonts w:ascii="Times New Roman" w:hAnsi="Times New Roman" w:hint="default"/>
      </w:rPr>
    </w:lvl>
    <w:lvl w:ilvl="1" w:tplc="02246182" w:tentative="1">
      <w:start w:val="1"/>
      <w:numFmt w:val="bullet"/>
      <w:lvlText w:val="•"/>
      <w:lvlJc w:val="left"/>
      <w:pPr>
        <w:tabs>
          <w:tab w:val="num" w:pos="1440"/>
        </w:tabs>
        <w:ind w:left="1440" w:hanging="360"/>
      </w:pPr>
      <w:rPr>
        <w:rFonts w:ascii="Times New Roman" w:hAnsi="Times New Roman" w:hint="default"/>
      </w:rPr>
    </w:lvl>
    <w:lvl w:ilvl="2" w:tplc="125A6784" w:tentative="1">
      <w:start w:val="1"/>
      <w:numFmt w:val="bullet"/>
      <w:lvlText w:val="•"/>
      <w:lvlJc w:val="left"/>
      <w:pPr>
        <w:tabs>
          <w:tab w:val="num" w:pos="2160"/>
        </w:tabs>
        <w:ind w:left="2160" w:hanging="360"/>
      </w:pPr>
      <w:rPr>
        <w:rFonts w:ascii="Times New Roman" w:hAnsi="Times New Roman" w:hint="default"/>
      </w:rPr>
    </w:lvl>
    <w:lvl w:ilvl="3" w:tplc="9990BCC0" w:tentative="1">
      <w:start w:val="1"/>
      <w:numFmt w:val="bullet"/>
      <w:lvlText w:val="•"/>
      <w:lvlJc w:val="left"/>
      <w:pPr>
        <w:tabs>
          <w:tab w:val="num" w:pos="2880"/>
        </w:tabs>
        <w:ind w:left="2880" w:hanging="360"/>
      </w:pPr>
      <w:rPr>
        <w:rFonts w:ascii="Times New Roman" w:hAnsi="Times New Roman" w:hint="default"/>
      </w:rPr>
    </w:lvl>
    <w:lvl w:ilvl="4" w:tplc="9DD4492A" w:tentative="1">
      <w:start w:val="1"/>
      <w:numFmt w:val="bullet"/>
      <w:lvlText w:val="•"/>
      <w:lvlJc w:val="left"/>
      <w:pPr>
        <w:tabs>
          <w:tab w:val="num" w:pos="3600"/>
        </w:tabs>
        <w:ind w:left="3600" w:hanging="360"/>
      </w:pPr>
      <w:rPr>
        <w:rFonts w:ascii="Times New Roman" w:hAnsi="Times New Roman" w:hint="default"/>
      </w:rPr>
    </w:lvl>
    <w:lvl w:ilvl="5" w:tplc="34DC3618" w:tentative="1">
      <w:start w:val="1"/>
      <w:numFmt w:val="bullet"/>
      <w:lvlText w:val="•"/>
      <w:lvlJc w:val="left"/>
      <w:pPr>
        <w:tabs>
          <w:tab w:val="num" w:pos="4320"/>
        </w:tabs>
        <w:ind w:left="4320" w:hanging="360"/>
      </w:pPr>
      <w:rPr>
        <w:rFonts w:ascii="Times New Roman" w:hAnsi="Times New Roman" w:hint="default"/>
      </w:rPr>
    </w:lvl>
    <w:lvl w:ilvl="6" w:tplc="97307B42" w:tentative="1">
      <w:start w:val="1"/>
      <w:numFmt w:val="bullet"/>
      <w:lvlText w:val="•"/>
      <w:lvlJc w:val="left"/>
      <w:pPr>
        <w:tabs>
          <w:tab w:val="num" w:pos="5040"/>
        </w:tabs>
        <w:ind w:left="5040" w:hanging="360"/>
      </w:pPr>
      <w:rPr>
        <w:rFonts w:ascii="Times New Roman" w:hAnsi="Times New Roman" w:hint="default"/>
      </w:rPr>
    </w:lvl>
    <w:lvl w:ilvl="7" w:tplc="0D4EA744" w:tentative="1">
      <w:start w:val="1"/>
      <w:numFmt w:val="bullet"/>
      <w:lvlText w:val="•"/>
      <w:lvlJc w:val="left"/>
      <w:pPr>
        <w:tabs>
          <w:tab w:val="num" w:pos="5760"/>
        </w:tabs>
        <w:ind w:left="5760" w:hanging="360"/>
      </w:pPr>
      <w:rPr>
        <w:rFonts w:ascii="Times New Roman" w:hAnsi="Times New Roman" w:hint="default"/>
      </w:rPr>
    </w:lvl>
    <w:lvl w:ilvl="8" w:tplc="4718BDA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FAF43BD"/>
    <w:multiLevelType w:val="hybridMultilevel"/>
    <w:tmpl w:val="6DCA7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FF3E56"/>
    <w:multiLevelType w:val="hybridMultilevel"/>
    <w:tmpl w:val="2048A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9B036F"/>
    <w:multiLevelType w:val="hybridMultilevel"/>
    <w:tmpl w:val="C90C636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7911A3E"/>
    <w:multiLevelType w:val="hybridMultilevel"/>
    <w:tmpl w:val="D0E67EE4"/>
    <w:lvl w:ilvl="0" w:tplc="67CC6A44">
      <w:start w:val="1"/>
      <w:numFmt w:val="bullet"/>
      <w:lvlText w:val="•"/>
      <w:lvlJc w:val="left"/>
      <w:pPr>
        <w:tabs>
          <w:tab w:val="num" w:pos="720"/>
        </w:tabs>
        <w:ind w:left="720" w:hanging="360"/>
      </w:pPr>
      <w:rPr>
        <w:rFonts w:ascii="Times New Roman" w:hAnsi="Times New Roman" w:hint="default"/>
      </w:rPr>
    </w:lvl>
    <w:lvl w:ilvl="1" w:tplc="43BAAE24" w:tentative="1">
      <w:start w:val="1"/>
      <w:numFmt w:val="bullet"/>
      <w:lvlText w:val="•"/>
      <w:lvlJc w:val="left"/>
      <w:pPr>
        <w:tabs>
          <w:tab w:val="num" w:pos="1440"/>
        </w:tabs>
        <w:ind w:left="1440" w:hanging="360"/>
      </w:pPr>
      <w:rPr>
        <w:rFonts w:ascii="Times New Roman" w:hAnsi="Times New Roman" w:hint="default"/>
      </w:rPr>
    </w:lvl>
    <w:lvl w:ilvl="2" w:tplc="44C2135E" w:tentative="1">
      <w:start w:val="1"/>
      <w:numFmt w:val="bullet"/>
      <w:lvlText w:val="•"/>
      <w:lvlJc w:val="left"/>
      <w:pPr>
        <w:tabs>
          <w:tab w:val="num" w:pos="2160"/>
        </w:tabs>
        <w:ind w:left="2160" w:hanging="360"/>
      </w:pPr>
      <w:rPr>
        <w:rFonts w:ascii="Times New Roman" w:hAnsi="Times New Roman" w:hint="default"/>
      </w:rPr>
    </w:lvl>
    <w:lvl w:ilvl="3" w:tplc="7E144DEC" w:tentative="1">
      <w:start w:val="1"/>
      <w:numFmt w:val="bullet"/>
      <w:lvlText w:val="•"/>
      <w:lvlJc w:val="left"/>
      <w:pPr>
        <w:tabs>
          <w:tab w:val="num" w:pos="2880"/>
        </w:tabs>
        <w:ind w:left="2880" w:hanging="360"/>
      </w:pPr>
      <w:rPr>
        <w:rFonts w:ascii="Times New Roman" w:hAnsi="Times New Roman" w:hint="default"/>
      </w:rPr>
    </w:lvl>
    <w:lvl w:ilvl="4" w:tplc="E6C8392E" w:tentative="1">
      <w:start w:val="1"/>
      <w:numFmt w:val="bullet"/>
      <w:lvlText w:val="•"/>
      <w:lvlJc w:val="left"/>
      <w:pPr>
        <w:tabs>
          <w:tab w:val="num" w:pos="3600"/>
        </w:tabs>
        <w:ind w:left="3600" w:hanging="360"/>
      </w:pPr>
      <w:rPr>
        <w:rFonts w:ascii="Times New Roman" w:hAnsi="Times New Roman" w:hint="default"/>
      </w:rPr>
    </w:lvl>
    <w:lvl w:ilvl="5" w:tplc="2A52FB74" w:tentative="1">
      <w:start w:val="1"/>
      <w:numFmt w:val="bullet"/>
      <w:lvlText w:val="•"/>
      <w:lvlJc w:val="left"/>
      <w:pPr>
        <w:tabs>
          <w:tab w:val="num" w:pos="4320"/>
        </w:tabs>
        <w:ind w:left="4320" w:hanging="360"/>
      </w:pPr>
      <w:rPr>
        <w:rFonts w:ascii="Times New Roman" w:hAnsi="Times New Roman" w:hint="default"/>
      </w:rPr>
    </w:lvl>
    <w:lvl w:ilvl="6" w:tplc="20664D16" w:tentative="1">
      <w:start w:val="1"/>
      <w:numFmt w:val="bullet"/>
      <w:lvlText w:val="•"/>
      <w:lvlJc w:val="left"/>
      <w:pPr>
        <w:tabs>
          <w:tab w:val="num" w:pos="5040"/>
        </w:tabs>
        <w:ind w:left="5040" w:hanging="360"/>
      </w:pPr>
      <w:rPr>
        <w:rFonts w:ascii="Times New Roman" w:hAnsi="Times New Roman" w:hint="default"/>
      </w:rPr>
    </w:lvl>
    <w:lvl w:ilvl="7" w:tplc="B644CA3E" w:tentative="1">
      <w:start w:val="1"/>
      <w:numFmt w:val="bullet"/>
      <w:lvlText w:val="•"/>
      <w:lvlJc w:val="left"/>
      <w:pPr>
        <w:tabs>
          <w:tab w:val="num" w:pos="5760"/>
        </w:tabs>
        <w:ind w:left="5760" w:hanging="360"/>
      </w:pPr>
      <w:rPr>
        <w:rFonts w:ascii="Times New Roman" w:hAnsi="Times New Roman" w:hint="default"/>
      </w:rPr>
    </w:lvl>
    <w:lvl w:ilvl="8" w:tplc="67E63C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1C1A12"/>
    <w:multiLevelType w:val="hybridMultilevel"/>
    <w:tmpl w:val="3F2A97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F4027B"/>
    <w:multiLevelType w:val="hybridMultilevel"/>
    <w:tmpl w:val="D09C8A70"/>
    <w:lvl w:ilvl="0" w:tplc="B908FB8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A75AD8"/>
    <w:multiLevelType w:val="hybridMultilevel"/>
    <w:tmpl w:val="2048A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C65748"/>
    <w:multiLevelType w:val="hybridMultilevel"/>
    <w:tmpl w:val="827A11B8"/>
    <w:lvl w:ilvl="0" w:tplc="B908FB8E">
      <w:start w:val="1"/>
      <w:numFmt w:val="bullet"/>
      <w:lvlText w:val="•"/>
      <w:lvlJc w:val="left"/>
      <w:pPr>
        <w:tabs>
          <w:tab w:val="num" w:pos="720"/>
        </w:tabs>
        <w:ind w:left="720" w:hanging="360"/>
      </w:pPr>
      <w:rPr>
        <w:rFonts w:ascii="Times New Roman" w:hAnsi="Times New Roman" w:hint="default"/>
      </w:rPr>
    </w:lvl>
    <w:lvl w:ilvl="1" w:tplc="202EF9DA" w:tentative="1">
      <w:start w:val="1"/>
      <w:numFmt w:val="bullet"/>
      <w:lvlText w:val="•"/>
      <w:lvlJc w:val="left"/>
      <w:pPr>
        <w:tabs>
          <w:tab w:val="num" w:pos="1440"/>
        </w:tabs>
        <w:ind w:left="1440" w:hanging="360"/>
      </w:pPr>
      <w:rPr>
        <w:rFonts w:ascii="Times New Roman" w:hAnsi="Times New Roman" w:hint="default"/>
      </w:rPr>
    </w:lvl>
    <w:lvl w:ilvl="2" w:tplc="E0DCD61A" w:tentative="1">
      <w:start w:val="1"/>
      <w:numFmt w:val="bullet"/>
      <w:lvlText w:val="•"/>
      <w:lvlJc w:val="left"/>
      <w:pPr>
        <w:tabs>
          <w:tab w:val="num" w:pos="2160"/>
        </w:tabs>
        <w:ind w:left="2160" w:hanging="360"/>
      </w:pPr>
      <w:rPr>
        <w:rFonts w:ascii="Times New Roman" w:hAnsi="Times New Roman" w:hint="default"/>
      </w:rPr>
    </w:lvl>
    <w:lvl w:ilvl="3" w:tplc="1BD41DAE" w:tentative="1">
      <w:start w:val="1"/>
      <w:numFmt w:val="bullet"/>
      <w:lvlText w:val="•"/>
      <w:lvlJc w:val="left"/>
      <w:pPr>
        <w:tabs>
          <w:tab w:val="num" w:pos="2880"/>
        </w:tabs>
        <w:ind w:left="2880" w:hanging="360"/>
      </w:pPr>
      <w:rPr>
        <w:rFonts w:ascii="Times New Roman" w:hAnsi="Times New Roman" w:hint="default"/>
      </w:rPr>
    </w:lvl>
    <w:lvl w:ilvl="4" w:tplc="16843BEE" w:tentative="1">
      <w:start w:val="1"/>
      <w:numFmt w:val="bullet"/>
      <w:lvlText w:val="•"/>
      <w:lvlJc w:val="left"/>
      <w:pPr>
        <w:tabs>
          <w:tab w:val="num" w:pos="3600"/>
        </w:tabs>
        <w:ind w:left="3600" w:hanging="360"/>
      </w:pPr>
      <w:rPr>
        <w:rFonts w:ascii="Times New Roman" w:hAnsi="Times New Roman" w:hint="default"/>
      </w:rPr>
    </w:lvl>
    <w:lvl w:ilvl="5" w:tplc="91AC00E2" w:tentative="1">
      <w:start w:val="1"/>
      <w:numFmt w:val="bullet"/>
      <w:lvlText w:val="•"/>
      <w:lvlJc w:val="left"/>
      <w:pPr>
        <w:tabs>
          <w:tab w:val="num" w:pos="4320"/>
        </w:tabs>
        <w:ind w:left="4320" w:hanging="360"/>
      </w:pPr>
      <w:rPr>
        <w:rFonts w:ascii="Times New Roman" w:hAnsi="Times New Roman" w:hint="default"/>
      </w:rPr>
    </w:lvl>
    <w:lvl w:ilvl="6" w:tplc="4632593C" w:tentative="1">
      <w:start w:val="1"/>
      <w:numFmt w:val="bullet"/>
      <w:lvlText w:val="•"/>
      <w:lvlJc w:val="left"/>
      <w:pPr>
        <w:tabs>
          <w:tab w:val="num" w:pos="5040"/>
        </w:tabs>
        <w:ind w:left="5040" w:hanging="360"/>
      </w:pPr>
      <w:rPr>
        <w:rFonts w:ascii="Times New Roman" w:hAnsi="Times New Roman" w:hint="default"/>
      </w:rPr>
    </w:lvl>
    <w:lvl w:ilvl="7" w:tplc="CAA82AD0" w:tentative="1">
      <w:start w:val="1"/>
      <w:numFmt w:val="bullet"/>
      <w:lvlText w:val="•"/>
      <w:lvlJc w:val="left"/>
      <w:pPr>
        <w:tabs>
          <w:tab w:val="num" w:pos="5760"/>
        </w:tabs>
        <w:ind w:left="5760" w:hanging="360"/>
      </w:pPr>
      <w:rPr>
        <w:rFonts w:ascii="Times New Roman" w:hAnsi="Times New Roman" w:hint="default"/>
      </w:rPr>
    </w:lvl>
    <w:lvl w:ilvl="8" w:tplc="E1D4273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8"/>
  </w:num>
  <w:num w:numId="3">
    <w:abstractNumId w:val="10"/>
  </w:num>
  <w:num w:numId="4">
    <w:abstractNumId w:val="7"/>
  </w:num>
  <w:num w:numId="5">
    <w:abstractNumId w:val="3"/>
  </w:num>
  <w:num w:numId="6">
    <w:abstractNumId w:val="2"/>
  </w:num>
  <w:num w:numId="7">
    <w:abstractNumId w:val="23"/>
  </w:num>
  <w:num w:numId="8">
    <w:abstractNumId w:val="21"/>
  </w:num>
  <w:num w:numId="9">
    <w:abstractNumId w:val="15"/>
  </w:num>
  <w:num w:numId="10">
    <w:abstractNumId w:val="14"/>
  </w:num>
  <w:num w:numId="11">
    <w:abstractNumId w:val="19"/>
  </w:num>
  <w:num w:numId="12">
    <w:abstractNumId w:val="12"/>
  </w:num>
  <w:num w:numId="13">
    <w:abstractNumId w:val="5"/>
  </w:num>
  <w:num w:numId="14">
    <w:abstractNumId w:val="6"/>
  </w:num>
  <w:num w:numId="15">
    <w:abstractNumId w:val="16"/>
  </w:num>
  <w:num w:numId="16">
    <w:abstractNumId w:val="8"/>
  </w:num>
  <w:num w:numId="17">
    <w:abstractNumId w:val="11"/>
  </w:num>
  <w:num w:numId="18">
    <w:abstractNumId w:val="0"/>
  </w:num>
  <w:num w:numId="19">
    <w:abstractNumId w:val="17"/>
  </w:num>
  <w:num w:numId="20">
    <w:abstractNumId w:val="13"/>
  </w:num>
  <w:num w:numId="21">
    <w:abstractNumId w:val="1"/>
  </w:num>
  <w:num w:numId="22">
    <w:abstractNumId w:val="4"/>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DF"/>
    <w:rsid w:val="00003967"/>
    <w:rsid w:val="000226E5"/>
    <w:rsid w:val="00024F5D"/>
    <w:rsid w:val="0004625B"/>
    <w:rsid w:val="00050DEB"/>
    <w:rsid w:val="00060DBC"/>
    <w:rsid w:val="000610D1"/>
    <w:rsid w:val="0006195B"/>
    <w:rsid w:val="000737DF"/>
    <w:rsid w:val="00074749"/>
    <w:rsid w:val="00075919"/>
    <w:rsid w:val="000822EE"/>
    <w:rsid w:val="00082C8E"/>
    <w:rsid w:val="00084C71"/>
    <w:rsid w:val="000B3280"/>
    <w:rsid w:val="000C21B7"/>
    <w:rsid w:val="000C440E"/>
    <w:rsid w:val="000D2587"/>
    <w:rsid w:val="000D29D1"/>
    <w:rsid w:val="000F2E6C"/>
    <w:rsid w:val="000F5BCA"/>
    <w:rsid w:val="00112F5D"/>
    <w:rsid w:val="0013392F"/>
    <w:rsid w:val="001353FF"/>
    <w:rsid w:val="00141382"/>
    <w:rsid w:val="00142166"/>
    <w:rsid w:val="00152155"/>
    <w:rsid w:val="00174A9A"/>
    <w:rsid w:val="001805F6"/>
    <w:rsid w:val="001868D0"/>
    <w:rsid w:val="00194420"/>
    <w:rsid w:val="00195F46"/>
    <w:rsid w:val="001A2539"/>
    <w:rsid w:val="001A517F"/>
    <w:rsid w:val="001A5F78"/>
    <w:rsid w:val="001B11FF"/>
    <w:rsid w:val="001B4D53"/>
    <w:rsid w:val="001C26D7"/>
    <w:rsid w:val="001D033B"/>
    <w:rsid w:val="001E1861"/>
    <w:rsid w:val="001E30CA"/>
    <w:rsid w:val="001E7FF5"/>
    <w:rsid w:val="001F1A5F"/>
    <w:rsid w:val="001F22BB"/>
    <w:rsid w:val="00201F1C"/>
    <w:rsid w:val="0020446F"/>
    <w:rsid w:val="00213D57"/>
    <w:rsid w:val="00215FB4"/>
    <w:rsid w:val="00222530"/>
    <w:rsid w:val="00224187"/>
    <w:rsid w:val="0022718C"/>
    <w:rsid w:val="002369D0"/>
    <w:rsid w:val="0025267F"/>
    <w:rsid w:val="00253D57"/>
    <w:rsid w:val="00261C0C"/>
    <w:rsid w:val="0026574B"/>
    <w:rsid w:val="00267DE6"/>
    <w:rsid w:val="00267E5D"/>
    <w:rsid w:val="00276BF3"/>
    <w:rsid w:val="00281952"/>
    <w:rsid w:val="00281A38"/>
    <w:rsid w:val="002941F1"/>
    <w:rsid w:val="002C422D"/>
    <w:rsid w:val="002D5279"/>
    <w:rsid w:val="002E0A31"/>
    <w:rsid w:val="002E0FB8"/>
    <w:rsid w:val="002E0FBB"/>
    <w:rsid w:val="002E35F5"/>
    <w:rsid w:val="002E481B"/>
    <w:rsid w:val="002F4A0A"/>
    <w:rsid w:val="002F67DE"/>
    <w:rsid w:val="002F6EF4"/>
    <w:rsid w:val="002F7AD9"/>
    <w:rsid w:val="002F7EE1"/>
    <w:rsid w:val="00310E33"/>
    <w:rsid w:val="00314F6F"/>
    <w:rsid w:val="00323216"/>
    <w:rsid w:val="00326305"/>
    <w:rsid w:val="00336ADB"/>
    <w:rsid w:val="00337F0B"/>
    <w:rsid w:val="00340EEF"/>
    <w:rsid w:val="0036297F"/>
    <w:rsid w:val="00363B75"/>
    <w:rsid w:val="003710A1"/>
    <w:rsid w:val="00374DDA"/>
    <w:rsid w:val="00380027"/>
    <w:rsid w:val="00386AE9"/>
    <w:rsid w:val="003912DA"/>
    <w:rsid w:val="00391D8F"/>
    <w:rsid w:val="003944BF"/>
    <w:rsid w:val="003A6182"/>
    <w:rsid w:val="003B6939"/>
    <w:rsid w:val="003C18EB"/>
    <w:rsid w:val="003C6268"/>
    <w:rsid w:val="003C7727"/>
    <w:rsid w:val="003D0CE4"/>
    <w:rsid w:val="003D39DE"/>
    <w:rsid w:val="003E1C40"/>
    <w:rsid w:val="003E5811"/>
    <w:rsid w:val="003F03CF"/>
    <w:rsid w:val="003F090D"/>
    <w:rsid w:val="003F121A"/>
    <w:rsid w:val="00421D55"/>
    <w:rsid w:val="00425095"/>
    <w:rsid w:val="0042694B"/>
    <w:rsid w:val="004320E7"/>
    <w:rsid w:val="00443FE6"/>
    <w:rsid w:val="00454E80"/>
    <w:rsid w:val="004A256E"/>
    <w:rsid w:val="004A2DA6"/>
    <w:rsid w:val="004C4EE0"/>
    <w:rsid w:val="004C78FD"/>
    <w:rsid w:val="004E1425"/>
    <w:rsid w:val="004E4EF6"/>
    <w:rsid w:val="004E6CCA"/>
    <w:rsid w:val="004F5358"/>
    <w:rsid w:val="00511065"/>
    <w:rsid w:val="005216DB"/>
    <w:rsid w:val="00524376"/>
    <w:rsid w:val="0053689D"/>
    <w:rsid w:val="005421EE"/>
    <w:rsid w:val="005427CD"/>
    <w:rsid w:val="005524F5"/>
    <w:rsid w:val="005710AC"/>
    <w:rsid w:val="00571A94"/>
    <w:rsid w:val="00585245"/>
    <w:rsid w:val="005A03AB"/>
    <w:rsid w:val="005B0318"/>
    <w:rsid w:val="005B2B8C"/>
    <w:rsid w:val="005C356A"/>
    <w:rsid w:val="005E03D4"/>
    <w:rsid w:val="005E27E6"/>
    <w:rsid w:val="005F2973"/>
    <w:rsid w:val="005F577D"/>
    <w:rsid w:val="006321BD"/>
    <w:rsid w:val="00637192"/>
    <w:rsid w:val="00643B20"/>
    <w:rsid w:val="006471B9"/>
    <w:rsid w:val="00656293"/>
    <w:rsid w:val="00656407"/>
    <w:rsid w:val="00671F1F"/>
    <w:rsid w:val="00674154"/>
    <w:rsid w:val="006967CE"/>
    <w:rsid w:val="006A00F7"/>
    <w:rsid w:val="006A0DF8"/>
    <w:rsid w:val="006A6DCF"/>
    <w:rsid w:val="006B5440"/>
    <w:rsid w:val="006B6F1D"/>
    <w:rsid w:val="006B7230"/>
    <w:rsid w:val="006C54B3"/>
    <w:rsid w:val="006D2730"/>
    <w:rsid w:val="006D3B97"/>
    <w:rsid w:val="006D46E7"/>
    <w:rsid w:val="006E0ADA"/>
    <w:rsid w:val="006E45CB"/>
    <w:rsid w:val="00705E04"/>
    <w:rsid w:val="00714E15"/>
    <w:rsid w:val="007245EB"/>
    <w:rsid w:val="00743580"/>
    <w:rsid w:val="00745A13"/>
    <w:rsid w:val="0076357A"/>
    <w:rsid w:val="00767E6B"/>
    <w:rsid w:val="0077023C"/>
    <w:rsid w:val="007758B8"/>
    <w:rsid w:val="00777006"/>
    <w:rsid w:val="0078660D"/>
    <w:rsid w:val="00797C70"/>
    <w:rsid w:val="007A03CB"/>
    <w:rsid w:val="007A6594"/>
    <w:rsid w:val="007A7491"/>
    <w:rsid w:val="007D0463"/>
    <w:rsid w:val="007E5E3C"/>
    <w:rsid w:val="007F1726"/>
    <w:rsid w:val="008035E7"/>
    <w:rsid w:val="00805BDF"/>
    <w:rsid w:val="00810F0C"/>
    <w:rsid w:val="0081372B"/>
    <w:rsid w:val="00817A9F"/>
    <w:rsid w:val="00820E0D"/>
    <w:rsid w:val="00826211"/>
    <w:rsid w:val="0083160C"/>
    <w:rsid w:val="00834F29"/>
    <w:rsid w:val="008420A9"/>
    <w:rsid w:val="0084412C"/>
    <w:rsid w:val="00852661"/>
    <w:rsid w:val="0086392B"/>
    <w:rsid w:val="0087375D"/>
    <w:rsid w:val="008A08CC"/>
    <w:rsid w:val="008B23D6"/>
    <w:rsid w:val="008B65FE"/>
    <w:rsid w:val="008C2310"/>
    <w:rsid w:val="008D20AF"/>
    <w:rsid w:val="008D3F46"/>
    <w:rsid w:val="008D449B"/>
    <w:rsid w:val="008E3440"/>
    <w:rsid w:val="008E4400"/>
    <w:rsid w:val="008E4440"/>
    <w:rsid w:val="008F2386"/>
    <w:rsid w:val="008F4265"/>
    <w:rsid w:val="00903803"/>
    <w:rsid w:val="00913CA6"/>
    <w:rsid w:val="00915A1C"/>
    <w:rsid w:val="009165BF"/>
    <w:rsid w:val="0092064B"/>
    <w:rsid w:val="00920CC8"/>
    <w:rsid w:val="00927112"/>
    <w:rsid w:val="00932B9D"/>
    <w:rsid w:val="00933F9D"/>
    <w:rsid w:val="00940D79"/>
    <w:rsid w:val="009446C1"/>
    <w:rsid w:val="00946410"/>
    <w:rsid w:val="00957131"/>
    <w:rsid w:val="0096638D"/>
    <w:rsid w:val="009853EA"/>
    <w:rsid w:val="00986537"/>
    <w:rsid w:val="00987FAB"/>
    <w:rsid w:val="009935E2"/>
    <w:rsid w:val="00995F01"/>
    <w:rsid w:val="009A7D97"/>
    <w:rsid w:val="009C2B99"/>
    <w:rsid w:val="009C737D"/>
    <w:rsid w:val="009D2048"/>
    <w:rsid w:val="009F1DDA"/>
    <w:rsid w:val="009F1FAC"/>
    <w:rsid w:val="009F244C"/>
    <w:rsid w:val="009F51CA"/>
    <w:rsid w:val="009F6E35"/>
    <w:rsid w:val="00A0110A"/>
    <w:rsid w:val="00A02296"/>
    <w:rsid w:val="00A02ED7"/>
    <w:rsid w:val="00A046DF"/>
    <w:rsid w:val="00A04752"/>
    <w:rsid w:val="00A1177C"/>
    <w:rsid w:val="00A13DC6"/>
    <w:rsid w:val="00A42020"/>
    <w:rsid w:val="00A533FA"/>
    <w:rsid w:val="00A54CD4"/>
    <w:rsid w:val="00A60E75"/>
    <w:rsid w:val="00A6146E"/>
    <w:rsid w:val="00A70D58"/>
    <w:rsid w:val="00A76C49"/>
    <w:rsid w:val="00A944D5"/>
    <w:rsid w:val="00A95520"/>
    <w:rsid w:val="00AA1287"/>
    <w:rsid w:val="00AA47FD"/>
    <w:rsid w:val="00AC037E"/>
    <w:rsid w:val="00AC2568"/>
    <w:rsid w:val="00AC40C7"/>
    <w:rsid w:val="00AD43A9"/>
    <w:rsid w:val="00AE3E12"/>
    <w:rsid w:val="00B014DF"/>
    <w:rsid w:val="00B12204"/>
    <w:rsid w:val="00B13B16"/>
    <w:rsid w:val="00B17ED1"/>
    <w:rsid w:val="00B206F9"/>
    <w:rsid w:val="00B23CEB"/>
    <w:rsid w:val="00B249CA"/>
    <w:rsid w:val="00B26CE1"/>
    <w:rsid w:val="00B32BF0"/>
    <w:rsid w:val="00B3589F"/>
    <w:rsid w:val="00B51F1E"/>
    <w:rsid w:val="00B56EA9"/>
    <w:rsid w:val="00B57EC7"/>
    <w:rsid w:val="00B62D16"/>
    <w:rsid w:val="00B66AEF"/>
    <w:rsid w:val="00B803BD"/>
    <w:rsid w:val="00B90427"/>
    <w:rsid w:val="00B93F90"/>
    <w:rsid w:val="00BA4E25"/>
    <w:rsid w:val="00BC10F2"/>
    <w:rsid w:val="00BD7399"/>
    <w:rsid w:val="00C116D5"/>
    <w:rsid w:val="00C118BB"/>
    <w:rsid w:val="00C24D5B"/>
    <w:rsid w:val="00C4384F"/>
    <w:rsid w:val="00C44000"/>
    <w:rsid w:val="00C44A51"/>
    <w:rsid w:val="00C478C4"/>
    <w:rsid w:val="00C5425E"/>
    <w:rsid w:val="00C56DD7"/>
    <w:rsid w:val="00C616AD"/>
    <w:rsid w:val="00C66C63"/>
    <w:rsid w:val="00C72FA5"/>
    <w:rsid w:val="00C80483"/>
    <w:rsid w:val="00C84FFD"/>
    <w:rsid w:val="00CA1F09"/>
    <w:rsid w:val="00CA3FC2"/>
    <w:rsid w:val="00CA4105"/>
    <w:rsid w:val="00CA6310"/>
    <w:rsid w:val="00CD106D"/>
    <w:rsid w:val="00CD129A"/>
    <w:rsid w:val="00CE672C"/>
    <w:rsid w:val="00CF24EB"/>
    <w:rsid w:val="00D03599"/>
    <w:rsid w:val="00D227D1"/>
    <w:rsid w:val="00D26A2B"/>
    <w:rsid w:val="00D401FC"/>
    <w:rsid w:val="00D4131D"/>
    <w:rsid w:val="00D5319A"/>
    <w:rsid w:val="00D645CC"/>
    <w:rsid w:val="00D66756"/>
    <w:rsid w:val="00D73EF5"/>
    <w:rsid w:val="00D9579A"/>
    <w:rsid w:val="00DB0487"/>
    <w:rsid w:val="00DB0FE5"/>
    <w:rsid w:val="00DB3EE4"/>
    <w:rsid w:val="00DC61E5"/>
    <w:rsid w:val="00DD4ED9"/>
    <w:rsid w:val="00DE6F3A"/>
    <w:rsid w:val="00DF4EAE"/>
    <w:rsid w:val="00E0207D"/>
    <w:rsid w:val="00E1234B"/>
    <w:rsid w:val="00E14B99"/>
    <w:rsid w:val="00E41D94"/>
    <w:rsid w:val="00E50B65"/>
    <w:rsid w:val="00E5660B"/>
    <w:rsid w:val="00E64125"/>
    <w:rsid w:val="00E71DAB"/>
    <w:rsid w:val="00E72D59"/>
    <w:rsid w:val="00E85738"/>
    <w:rsid w:val="00E900B5"/>
    <w:rsid w:val="00E924B4"/>
    <w:rsid w:val="00EA2E0D"/>
    <w:rsid w:val="00EA54BF"/>
    <w:rsid w:val="00EB6820"/>
    <w:rsid w:val="00EE4B01"/>
    <w:rsid w:val="00EF0116"/>
    <w:rsid w:val="00EF08A8"/>
    <w:rsid w:val="00F01616"/>
    <w:rsid w:val="00F10DC9"/>
    <w:rsid w:val="00F16ABF"/>
    <w:rsid w:val="00F20BB6"/>
    <w:rsid w:val="00F21F62"/>
    <w:rsid w:val="00F33684"/>
    <w:rsid w:val="00F3421B"/>
    <w:rsid w:val="00F406B3"/>
    <w:rsid w:val="00F54584"/>
    <w:rsid w:val="00F56F8A"/>
    <w:rsid w:val="00F60AA7"/>
    <w:rsid w:val="00F6546F"/>
    <w:rsid w:val="00F733C8"/>
    <w:rsid w:val="00F736EA"/>
    <w:rsid w:val="00F8052F"/>
    <w:rsid w:val="00F8082F"/>
    <w:rsid w:val="00F81A7E"/>
    <w:rsid w:val="00F85A4A"/>
    <w:rsid w:val="00F95688"/>
    <w:rsid w:val="00FA1615"/>
    <w:rsid w:val="00FC1322"/>
    <w:rsid w:val="00FC6656"/>
    <w:rsid w:val="00FD43E7"/>
    <w:rsid w:val="00FD6F5F"/>
    <w:rsid w:val="00FD7F4E"/>
    <w:rsid w:val="00FE298B"/>
    <w:rsid w:val="00FF041A"/>
    <w:rsid w:val="00FF2C42"/>
    <w:rsid w:val="00FF46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F21C"/>
  <w15:chartTrackingRefBased/>
  <w15:docId w15:val="{C89D7DF5-078D-457B-B14E-09984EFF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63"/>
    <w:pPr>
      <w:ind w:left="720"/>
      <w:contextualSpacing/>
    </w:pPr>
  </w:style>
  <w:style w:type="character" w:styleId="CommentReference">
    <w:name w:val="annotation reference"/>
    <w:basedOn w:val="DefaultParagraphFont"/>
    <w:semiHidden/>
    <w:unhideWhenUsed/>
    <w:rsid w:val="002E35F5"/>
    <w:rPr>
      <w:sz w:val="16"/>
      <w:szCs w:val="16"/>
    </w:rPr>
  </w:style>
  <w:style w:type="paragraph" w:styleId="CommentText">
    <w:name w:val="annotation text"/>
    <w:basedOn w:val="Normal"/>
    <w:link w:val="CommentTextChar"/>
    <w:unhideWhenUsed/>
    <w:rsid w:val="002E35F5"/>
    <w:pPr>
      <w:spacing w:line="240" w:lineRule="auto"/>
    </w:pPr>
    <w:rPr>
      <w:sz w:val="20"/>
      <w:szCs w:val="20"/>
    </w:rPr>
  </w:style>
  <w:style w:type="character" w:customStyle="1" w:styleId="CommentTextChar">
    <w:name w:val="Comment Text Char"/>
    <w:basedOn w:val="DefaultParagraphFont"/>
    <w:link w:val="CommentText"/>
    <w:rsid w:val="002E35F5"/>
    <w:rPr>
      <w:sz w:val="20"/>
      <w:szCs w:val="20"/>
    </w:rPr>
  </w:style>
  <w:style w:type="paragraph" w:styleId="CommentSubject">
    <w:name w:val="annotation subject"/>
    <w:basedOn w:val="CommentText"/>
    <w:next w:val="CommentText"/>
    <w:link w:val="CommentSubjectChar"/>
    <w:uiPriority w:val="99"/>
    <w:semiHidden/>
    <w:unhideWhenUsed/>
    <w:rsid w:val="002E35F5"/>
    <w:rPr>
      <w:b/>
      <w:bCs/>
    </w:rPr>
  </w:style>
  <w:style w:type="character" w:customStyle="1" w:styleId="CommentSubjectChar">
    <w:name w:val="Comment Subject Char"/>
    <w:basedOn w:val="CommentTextChar"/>
    <w:link w:val="CommentSubject"/>
    <w:uiPriority w:val="99"/>
    <w:semiHidden/>
    <w:rsid w:val="002E35F5"/>
    <w:rPr>
      <w:b/>
      <w:bCs/>
      <w:sz w:val="20"/>
      <w:szCs w:val="20"/>
    </w:rPr>
  </w:style>
  <w:style w:type="table" w:styleId="TableGrid">
    <w:name w:val="Table Grid"/>
    <w:basedOn w:val="TableNormal"/>
    <w:uiPriority w:val="39"/>
    <w:rsid w:val="00D645C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55"/>
  </w:style>
  <w:style w:type="paragraph" w:styleId="Footer">
    <w:name w:val="footer"/>
    <w:basedOn w:val="Normal"/>
    <w:link w:val="FooterChar"/>
    <w:uiPriority w:val="99"/>
    <w:unhideWhenUsed/>
    <w:rsid w:val="00421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D55"/>
  </w:style>
  <w:style w:type="paragraph" w:styleId="FootnoteText">
    <w:name w:val="footnote text"/>
    <w:basedOn w:val="Normal"/>
    <w:link w:val="FootnoteTextChar"/>
    <w:uiPriority w:val="99"/>
    <w:semiHidden/>
    <w:unhideWhenUsed/>
    <w:rsid w:val="00B56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EA9"/>
    <w:rPr>
      <w:sz w:val="20"/>
      <w:szCs w:val="20"/>
    </w:rPr>
  </w:style>
  <w:style w:type="character" w:styleId="FootnoteReference">
    <w:name w:val="footnote reference"/>
    <w:basedOn w:val="DefaultParagraphFont"/>
    <w:uiPriority w:val="99"/>
    <w:semiHidden/>
    <w:unhideWhenUsed/>
    <w:rsid w:val="00B56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33302">
      <w:bodyDiv w:val="1"/>
      <w:marLeft w:val="0"/>
      <w:marRight w:val="0"/>
      <w:marTop w:val="0"/>
      <w:marBottom w:val="0"/>
      <w:divBdr>
        <w:top w:val="none" w:sz="0" w:space="0" w:color="auto"/>
        <w:left w:val="none" w:sz="0" w:space="0" w:color="auto"/>
        <w:bottom w:val="none" w:sz="0" w:space="0" w:color="auto"/>
        <w:right w:val="none" w:sz="0" w:space="0" w:color="auto"/>
      </w:divBdr>
    </w:div>
    <w:div w:id="459618015">
      <w:bodyDiv w:val="1"/>
      <w:marLeft w:val="0"/>
      <w:marRight w:val="0"/>
      <w:marTop w:val="0"/>
      <w:marBottom w:val="0"/>
      <w:divBdr>
        <w:top w:val="none" w:sz="0" w:space="0" w:color="auto"/>
        <w:left w:val="none" w:sz="0" w:space="0" w:color="auto"/>
        <w:bottom w:val="none" w:sz="0" w:space="0" w:color="auto"/>
        <w:right w:val="none" w:sz="0" w:space="0" w:color="auto"/>
      </w:divBdr>
      <w:divsChild>
        <w:div w:id="1430929149">
          <w:marLeft w:val="547"/>
          <w:marRight w:val="0"/>
          <w:marTop w:val="0"/>
          <w:marBottom w:val="0"/>
          <w:divBdr>
            <w:top w:val="none" w:sz="0" w:space="0" w:color="auto"/>
            <w:left w:val="none" w:sz="0" w:space="0" w:color="auto"/>
            <w:bottom w:val="none" w:sz="0" w:space="0" w:color="auto"/>
            <w:right w:val="none" w:sz="0" w:space="0" w:color="auto"/>
          </w:divBdr>
        </w:div>
      </w:divsChild>
    </w:div>
    <w:div w:id="719399364">
      <w:bodyDiv w:val="1"/>
      <w:marLeft w:val="0"/>
      <w:marRight w:val="0"/>
      <w:marTop w:val="0"/>
      <w:marBottom w:val="0"/>
      <w:divBdr>
        <w:top w:val="none" w:sz="0" w:space="0" w:color="auto"/>
        <w:left w:val="none" w:sz="0" w:space="0" w:color="auto"/>
        <w:bottom w:val="none" w:sz="0" w:space="0" w:color="auto"/>
        <w:right w:val="none" w:sz="0" w:space="0" w:color="auto"/>
      </w:divBdr>
      <w:divsChild>
        <w:div w:id="902522746">
          <w:marLeft w:val="360"/>
          <w:marRight w:val="0"/>
          <w:marTop w:val="200"/>
          <w:marBottom w:val="0"/>
          <w:divBdr>
            <w:top w:val="none" w:sz="0" w:space="0" w:color="auto"/>
            <w:left w:val="none" w:sz="0" w:space="0" w:color="auto"/>
            <w:bottom w:val="none" w:sz="0" w:space="0" w:color="auto"/>
            <w:right w:val="none" w:sz="0" w:space="0" w:color="auto"/>
          </w:divBdr>
        </w:div>
        <w:div w:id="532350296">
          <w:marLeft w:val="360"/>
          <w:marRight w:val="0"/>
          <w:marTop w:val="200"/>
          <w:marBottom w:val="0"/>
          <w:divBdr>
            <w:top w:val="none" w:sz="0" w:space="0" w:color="auto"/>
            <w:left w:val="none" w:sz="0" w:space="0" w:color="auto"/>
            <w:bottom w:val="none" w:sz="0" w:space="0" w:color="auto"/>
            <w:right w:val="none" w:sz="0" w:space="0" w:color="auto"/>
          </w:divBdr>
        </w:div>
        <w:div w:id="2063669038">
          <w:marLeft w:val="360"/>
          <w:marRight w:val="0"/>
          <w:marTop w:val="200"/>
          <w:marBottom w:val="0"/>
          <w:divBdr>
            <w:top w:val="none" w:sz="0" w:space="0" w:color="auto"/>
            <w:left w:val="none" w:sz="0" w:space="0" w:color="auto"/>
            <w:bottom w:val="none" w:sz="0" w:space="0" w:color="auto"/>
            <w:right w:val="none" w:sz="0" w:space="0" w:color="auto"/>
          </w:divBdr>
        </w:div>
        <w:div w:id="958337950">
          <w:marLeft w:val="360"/>
          <w:marRight w:val="0"/>
          <w:marTop w:val="200"/>
          <w:marBottom w:val="0"/>
          <w:divBdr>
            <w:top w:val="none" w:sz="0" w:space="0" w:color="auto"/>
            <w:left w:val="none" w:sz="0" w:space="0" w:color="auto"/>
            <w:bottom w:val="none" w:sz="0" w:space="0" w:color="auto"/>
            <w:right w:val="none" w:sz="0" w:space="0" w:color="auto"/>
          </w:divBdr>
        </w:div>
      </w:divsChild>
    </w:div>
    <w:div w:id="8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532641853">
          <w:marLeft w:val="547"/>
          <w:marRight w:val="0"/>
          <w:marTop w:val="0"/>
          <w:marBottom w:val="0"/>
          <w:divBdr>
            <w:top w:val="none" w:sz="0" w:space="0" w:color="auto"/>
            <w:left w:val="none" w:sz="0" w:space="0" w:color="auto"/>
            <w:bottom w:val="none" w:sz="0" w:space="0" w:color="auto"/>
            <w:right w:val="none" w:sz="0" w:space="0" w:color="auto"/>
          </w:divBdr>
        </w:div>
      </w:divsChild>
    </w:div>
    <w:div w:id="1181118836">
      <w:bodyDiv w:val="1"/>
      <w:marLeft w:val="0"/>
      <w:marRight w:val="0"/>
      <w:marTop w:val="0"/>
      <w:marBottom w:val="0"/>
      <w:divBdr>
        <w:top w:val="none" w:sz="0" w:space="0" w:color="auto"/>
        <w:left w:val="none" w:sz="0" w:space="0" w:color="auto"/>
        <w:bottom w:val="none" w:sz="0" w:space="0" w:color="auto"/>
        <w:right w:val="none" w:sz="0" w:space="0" w:color="auto"/>
      </w:divBdr>
    </w:div>
    <w:div w:id="1253078607">
      <w:bodyDiv w:val="1"/>
      <w:marLeft w:val="0"/>
      <w:marRight w:val="0"/>
      <w:marTop w:val="0"/>
      <w:marBottom w:val="0"/>
      <w:divBdr>
        <w:top w:val="none" w:sz="0" w:space="0" w:color="auto"/>
        <w:left w:val="none" w:sz="0" w:space="0" w:color="auto"/>
        <w:bottom w:val="none" w:sz="0" w:space="0" w:color="auto"/>
        <w:right w:val="none" w:sz="0" w:space="0" w:color="auto"/>
      </w:divBdr>
      <w:divsChild>
        <w:div w:id="1852451831">
          <w:marLeft w:val="547"/>
          <w:marRight w:val="0"/>
          <w:marTop w:val="0"/>
          <w:marBottom w:val="0"/>
          <w:divBdr>
            <w:top w:val="none" w:sz="0" w:space="0" w:color="auto"/>
            <w:left w:val="none" w:sz="0" w:space="0" w:color="auto"/>
            <w:bottom w:val="none" w:sz="0" w:space="0" w:color="auto"/>
            <w:right w:val="none" w:sz="0" w:space="0" w:color="auto"/>
          </w:divBdr>
        </w:div>
      </w:divsChild>
    </w:div>
    <w:div w:id="1268467755">
      <w:bodyDiv w:val="1"/>
      <w:marLeft w:val="0"/>
      <w:marRight w:val="0"/>
      <w:marTop w:val="0"/>
      <w:marBottom w:val="0"/>
      <w:divBdr>
        <w:top w:val="none" w:sz="0" w:space="0" w:color="auto"/>
        <w:left w:val="none" w:sz="0" w:space="0" w:color="auto"/>
        <w:bottom w:val="none" w:sz="0" w:space="0" w:color="auto"/>
        <w:right w:val="none" w:sz="0" w:space="0" w:color="auto"/>
      </w:divBdr>
      <w:divsChild>
        <w:div w:id="1618558405">
          <w:marLeft w:val="547"/>
          <w:marRight w:val="0"/>
          <w:marTop w:val="0"/>
          <w:marBottom w:val="0"/>
          <w:divBdr>
            <w:top w:val="none" w:sz="0" w:space="0" w:color="auto"/>
            <w:left w:val="none" w:sz="0" w:space="0" w:color="auto"/>
            <w:bottom w:val="none" w:sz="0" w:space="0" w:color="auto"/>
            <w:right w:val="none" w:sz="0" w:space="0" w:color="auto"/>
          </w:divBdr>
        </w:div>
      </w:divsChild>
    </w:div>
    <w:div w:id="1432316503">
      <w:bodyDiv w:val="1"/>
      <w:marLeft w:val="0"/>
      <w:marRight w:val="0"/>
      <w:marTop w:val="0"/>
      <w:marBottom w:val="0"/>
      <w:divBdr>
        <w:top w:val="none" w:sz="0" w:space="0" w:color="auto"/>
        <w:left w:val="none" w:sz="0" w:space="0" w:color="auto"/>
        <w:bottom w:val="none" w:sz="0" w:space="0" w:color="auto"/>
        <w:right w:val="none" w:sz="0" w:space="0" w:color="auto"/>
      </w:divBdr>
      <w:divsChild>
        <w:div w:id="1704941613">
          <w:marLeft w:val="360"/>
          <w:marRight w:val="0"/>
          <w:marTop w:val="200"/>
          <w:marBottom w:val="0"/>
          <w:divBdr>
            <w:top w:val="none" w:sz="0" w:space="0" w:color="auto"/>
            <w:left w:val="none" w:sz="0" w:space="0" w:color="auto"/>
            <w:bottom w:val="none" w:sz="0" w:space="0" w:color="auto"/>
            <w:right w:val="none" w:sz="0" w:space="0" w:color="auto"/>
          </w:divBdr>
        </w:div>
      </w:divsChild>
    </w:div>
    <w:div w:id="1466776223">
      <w:bodyDiv w:val="1"/>
      <w:marLeft w:val="0"/>
      <w:marRight w:val="0"/>
      <w:marTop w:val="0"/>
      <w:marBottom w:val="0"/>
      <w:divBdr>
        <w:top w:val="none" w:sz="0" w:space="0" w:color="auto"/>
        <w:left w:val="none" w:sz="0" w:space="0" w:color="auto"/>
        <w:bottom w:val="none" w:sz="0" w:space="0" w:color="auto"/>
        <w:right w:val="none" w:sz="0" w:space="0" w:color="auto"/>
      </w:divBdr>
      <w:divsChild>
        <w:div w:id="220797069">
          <w:marLeft w:val="360"/>
          <w:marRight w:val="0"/>
          <w:marTop w:val="200"/>
          <w:marBottom w:val="0"/>
          <w:divBdr>
            <w:top w:val="none" w:sz="0" w:space="0" w:color="auto"/>
            <w:left w:val="none" w:sz="0" w:space="0" w:color="auto"/>
            <w:bottom w:val="none" w:sz="0" w:space="0" w:color="auto"/>
            <w:right w:val="none" w:sz="0" w:space="0" w:color="auto"/>
          </w:divBdr>
        </w:div>
        <w:div w:id="30691770">
          <w:marLeft w:val="360"/>
          <w:marRight w:val="0"/>
          <w:marTop w:val="200"/>
          <w:marBottom w:val="0"/>
          <w:divBdr>
            <w:top w:val="none" w:sz="0" w:space="0" w:color="auto"/>
            <w:left w:val="none" w:sz="0" w:space="0" w:color="auto"/>
            <w:bottom w:val="none" w:sz="0" w:space="0" w:color="auto"/>
            <w:right w:val="none" w:sz="0" w:space="0" w:color="auto"/>
          </w:divBdr>
        </w:div>
        <w:div w:id="161164724">
          <w:marLeft w:val="360"/>
          <w:marRight w:val="0"/>
          <w:marTop w:val="200"/>
          <w:marBottom w:val="0"/>
          <w:divBdr>
            <w:top w:val="none" w:sz="0" w:space="0" w:color="auto"/>
            <w:left w:val="none" w:sz="0" w:space="0" w:color="auto"/>
            <w:bottom w:val="none" w:sz="0" w:space="0" w:color="auto"/>
            <w:right w:val="none" w:sz="0" w:space="0" w:color="auto"/>
          </w:divBdr>
        </w:div>
      </w:divsChild>
    </w:div>
    <w:div w:id="1501191632">
      <w:bodyDiv w:val="1"/>
      <w:marLeft w:val="0"/>
      <w:marRight w:val="0"/>
      <w:marTop w:val="0"/>
      <w:marBottom w:val="0"/>
      <w:divBdr>
        <w:top w:val="none" w:sz="0" w:space="0" w:color="auto"/>
        <w:left w:val="none" w:sz="0" w:space="0" w:color="auto"/>
        <w:bottom w:val="none" w:sz="0" w:space="0" w:color="auto"/>
        <w:right w:val="none" w:sz="0" w:space="0" w:color="auto"/>
      </w:divBdr>
      <w:divsChild>
        <w:div w:id="1841198147">
          <w:marLeft w:val="360"/>
          <w:marRight w:val="0"/>
          <w:marTop w:val="200"/>
          <w:marBottom w:val="0"/>
          <w:divBdr>
            <w:top w:val="none" w:sz="0" w:space="0" w:color="auto"/>
            <w:left w:val="none" w:sz="0" w:space="0" w:color="auto"/>
            <w:bottom w:val="none" w:sz="0" w:space="0" w:color="auto"/>
            <w:right w:val="none" w:sz="0" w:space="0" w:color="auto"/>
          </w:divBdr>
        </w:div>
      </w:divsChild>
    </w:div>
    <w:div w:id="1739548993">
      <w:bodyDiv w:val="1"/>
      <w:marLeft w:val="0"/>
      <w:marRight w:val="0"/>
      <w:marTop w:val="0"/>
      <w:marBottom w:val="0"/>
      <w:divBdr>
        <w:top w:val="none" w:sz="0" w:space="0" w:color="auto"/>
        <w:left w:val="none" w:sz="0" w:space="0" w:color="auto"/>
        <w:bottom w:val="none" w:sz="0" w:space="0" w:color="auto"/>
        <w:right w:val="none" w:sz="0" w:space="0" w:color="auto"/>
      </w:divBdr>
      <w:divsChild>
        <w:div w:id="2038695966">
          <w:marLeft w:val="547"/>
          <w:marRight w:val="0"/>
          <w:marTop w:val="0"/>
          <w:marBottom w:val="0"/>
          <w:divBdr>
            <w:top w:val="none" w:sz="0" w:space="0" w:color="auto"/>
            <w:left w:val="none" w:sz="0" w:space="0" w:color="auto"/>
            <w:bottom w:val="none" w:sz="0" w:space="0" w:color="auto"/>
            <w:right w:val="none" w:sz="0" w:space="0" w:color="auto"/>
          </w:divBdr>
        </w:div>
      </w:divsChild>
    </w:div>
    <w:div w:id="1857887181">
      <w:bodyDiv w:val="1"/>
      <w:marLeft w:val="0"/>
      <w:marRight w:val="0"/>
      <w:marTop w:val="0"/>
      <w:marBottom w:val="0"/>
      <w:divBdr>
        <w:top w:val="none" w:sz="0" w:space="0" w:color="auto"/>
        <w:left w:val="none" w:sz="0" w:space="0" w:color="auto"/>
        <w:bottom w:val="none" w:sz="0" w:space="0" w:color="auto"/>
        <w:right w:val="none" w:sz="0" w:space="0" w:color="auto"/>
      </w:divBdr>
      <w:divsChild>
        <w:div w:id="1130588557">
          <w:marLeft w:val="547"/>
          <w:marRight w:val="0"/>
          <w:marTop w:val="0"/>
          <w:marBottom w:val="0"/>
          <w:divBdr>
            <w:top w:val="none" w:sz="0" w:space="0" w:color="auto"/>
            <w:left w:val="none" w:sz="0" w:space="0" w:color="auto"/>
            <w:bottom w:val="none" w:sz="0" w:space="0" w:color="auto"/>
            <w:right w:val="none" w:sz="0" w:space="0" w:color="auto"/>
          </w:divBdr>
        </w:div>
      </w:divsChild>
    </w:div>
    <w:div w:id="2095398386">
      <w:bodyDiv w:val="1"/>
      <w:marLeft w:val="0"/>
      <w:marRight w:val="0"/>
      <w:marTop w:val="0"/>
      <w:marBottom w:val="0"/>
      <w:divBdr>
        <w:top w:val="none" w:sz="0" w:space="0" w:color="auto"/>
        <w:left w:val="none" w:sz="0" w:space="0" w:color="auto"/>
        <w:bottom w:val="none" w:sz="0" w:space="0" w:color="auto"/>
        <w:right w:val="none" w:sz="0" w:space="0" w:color="auto"/>
      </w:divBdr>
      <w:divsChild>
        <w:div w:id="2447998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2022-12-28T07:00:00+00:00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Djibouti</TermName>
          <TermId xmlns="http://schemas.microsoft.com/office/infopath/2007/PartnerControls">7206c4f6-bb1a-42dd-8df3-9e823a11750b</TermId>
        </TermInfo>
      </Terms>
    </UNDPCountryTaxHTField0>
    <UndpOUCode xmlns="1ed4137b-41b2-488b-8250-6d369ec27664">DJI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Local governance</TermName>
          <TermId xmlns="http://schemas.microsoft.com/office/infopath/2007/PartnerControls">897f3f83-dec6-4d89-bc81-2be48654617d</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2022-01-06T05:00:00+00:00</Document_x0020_Coverage_x0020_Period_x0020_Start_x0020_Date>
    <Document_x0020_Coverage_x0020_Period_x0020_End_x0020_Date xmlns="f1161f5b-24a3-4c2d-bc81-44cb9325e8ee">2023-12-31T05:00:00+00:00</Document_x0020_Coverage_x0020_Period_x0020_End_x0020_Date>
    <Project_x0020_Number xmlns="f1161f5b-24a3-4c2d-bc81-44cb9325e8ee" xsi:nil="true"/>
    <Project_x0020_Manager xmlns="f1161f5b-24a3-4c2d-bc81-44cb9325e8ee" xsi:nil="true"/>
    <TaxCatchAll xmlns="1ed4137b-41b2-488b-8250-6d369ec27664">
      <Value>1314</Value>
      <Value>763</Value>
      <Value>1315</Value>
      <Value>1110</Value>
      <Value>564</Value>
      <Value>1</Value>
    </TaxCatchAll>
    <c4e2ab2cc9354bbf9064eeb465a566ea xmlns="1ed4137b-41b2-488b-8250-6d369ec27664">
      <Terms xmlns="http://schemas.microsoft.com/office/infopath/2007/PartnerControls"/>
    </c4e2ab2cc9354bbf9064eeb465a566ea>
    <UndpProjectNo xmlns="1ed4137b-41b2-488b-8250-6d369ec27664">00144925</UndpProjectNo>
    <UndpDocStatus xmlns="1ed4137b-41b2-488b-8250-6d369ec27664">Approved</UndpDocStatus>
    <Outcome1 xmlns="f1161f5b-24a3-4c2d-bc81-44cb9325e8ee">00132484</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DJI</TermName>
          <TermId xmlns="http://schemas.microsoft.com/office/infopath/2007/PartnerControls">1b6de570-7fa5-49d5-b9a2-40242f39cfce</TermId>
        </TermInfo>
      </Terms>
    </gc6531b704974d528487414686b72f6f>
    <_dlc_DocId xmlns="f1161f5b-24a3-4c2d-bc81-44cb9325e8ee">ATLASPDC-4-168052</_dlc_DocId>
    <_dlc_DocIdUrl xmlns="f1161f5b-24a3-4c2d-bc81-44cb9325e8ee">
      <Url>https://info.undp.org/docs/pdc/_layouts/DocIdRedir.aspx?ID=ATLASPDC-4-168052</Url>
      <Description>ATLASPDC-4-168052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623705-177E-4B07-9880-2E16D37D6C94}">
  <ds:schemaRefs>
    <ds:schemaRef ds:uri="http://schemas.openxmlformats.org/officeDocument/2006/bibliography"/>
  </ds:schemaRefs>
</ds:datastoreItem>
</file>

<file path=customXml/itemProps2.xml><?xml version="1.0" encoding="utf-8"?>
<ds:datastoreItem xmlns:ds="http://schemas.openxmlformats.org/officeDocument/2006/customXml" ds:itemID="{EE24E7C6-ED9F-4AB3-9603-A74C93408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ABEEB-7981-4E3C-9235-BFF34F3EEF5E}">
  <ds:schemaRefs>
    <ds:schemaRef ds:uri="http://schemas.microsoft.com/sharepoint/v3/contenttype/forms"/>
  </ds:schemaRefs>
</ds:datastoreItem>
</file>

<file path=customXml/itemProps4.xml><?xml version="1.0" encoding="utf-8"?>
<ds:datastoreItem xmlns:ds="http://schemas.openxmlformats.org/officeDocument/2006/customXml" ds:itemID="{D02B2DC7-A5B0-4229-B24E-DEBA17F42C3B}"/>
</file>

<file path=customXml/itemProps5.xml><?xml version="1.0" encoding="utf-8"?>
<ds:datastoreItem xmlns:ds="http://schemas.openxmlformats.org/officeDocument/2006/customXml" ds:itemID="{08713539-A3A9-4D72-B897-B01467703F50}"/>
</file>

<file path=customXml/itemProps6.xml><?xml version="1.0" encoding="utf-8"?>
<ds:datastoreItem xmlns:ds="http://schemas.openxmlformats.org/officeDocument/2006/customXml" ds:itemID="{9A92D981-9D54-4CD4-8CDC-428775640B95}"/>
</file>

<file path=docProps/app.xml><?xml version="1.0" encoding="utf-8"?>
<Properties xmlns="http://schemas.openxmlformats.org/officeDocument/2006/extended-properties" xmlns:vt="http://schemas.openxmlformats.org/officeDocument/2006/docPropsVTypes">
  <Template>Normal</Template>
  <TotalTime>0</TotalTime>
  <Pages>11</Pages>
  <Words>3164</Words>
  <Characters>18040</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ncubation Fund Proposal 2022 UNDP DJI-Final for submission-Apr 11 2022 (004)</dc:title>
  <dc:subject/>
  <dc:creator>Rima El Hassani</dc:creator>
  <cp:keywords/>
  <dc:description/>
  <cp:lastModifiedBy>Didan Mohamed</cp:lastModifiedBy>
  <cp:revision>2</cp:revision>
  <cp:lastPrinted>2022-04-10T13:12:00Z</cp:lastPrinted>
  <dcterms:created xsi:type="dcterms:W3CDTF">2022-12-28T07:25:00Z</dcterms:created>
  <dcterms:modified xsi:type="dcterms:W3CDTF">2022-12-28T07:25:00Z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1315;#Djibouti|7206c4f6-bb1a-42dd-8df3-9e823a11750b</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1314;#DJI|1b6de570-7fa5-49d5-b9a2-40242f39cfce</vt:lpwstr>
  </property>
  <property fmtid="{D5CDD505-2E9C-101B-9397-08002B2CF9AE}" pid="8" name="Atlas Document Status">
    <vt:lpwstr>763;#Draft|121d40a5-e62e-4d42-82e4-d6d12003de0a</vt:lpwstr>
  </property>
  <property fmtid="{D5CDD505-2E9C-101B-9397-08002B2CF9AE}" pid="9" name="_dlc_DocIdItemGuid">
    <vt:lpwstr>18a7a54c-68b5-499e-a68e-83f21d9f4b36</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564;#Local governance|897f3f83-dec6-4d89-bc81-2be48654617d</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